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0A09" w14:textId="51B930DC" w:rsidR="008C5672" w:rsidRPr="00360666" w:rsidRDefault="001215F4" w:rsidP="007F3156">
      <w:pPr>
        <w:rPr>
          <w:rFonts w:cstheme="minorHAnsi"/>
          <w:b/>
          <w:bCs/>
        </w:rPr>
      </w:pPr>
      <w:r w:rsidRPr="00360666">
        <w:rPr>
          <w:rFonts w:cstheme="minorHAnsi"/>
          <w:b/>
          <w:bCs/>
        </w:rPr>
        <w:t>Social Determinants of Health</w:t>
      </w:r>
      <w:r w:rsidR="006D286D" w:rsidRPr="00360666">
        <w:rPr>
          <w:rFonts w:cstheme="minorHAnsi"/>
          <w:b/>
          <w:bCs/>
        </w:rPr>
        <w:t xml:space="preserve"> Measures – Please Comment</w:t>
      </w:r>
    </w:p>
    <w:p w14:paraId="43438B85" w14:textId="286FF7F8" w:rsidR="00320977" w:rsidRPr="00360666" w:rsidRDefault="00320977" w:rsidP="006D286D">
      <w:pPr>
        <w:rPr>
          <w:rStyle w:val="Hyperlink"/>
          <w:rFonts w:cstheme="minorHAnsi"/>
          <w:bCs/>
          <w:color w:val="auto"/>
          <w:u w:val="none"/>
        </w:rPr>
      </w:pPr>
      <w:r w:rsidRPr="00360666">
        <w:rPr>
          <w:rStyle w:val="Hyperlink"/>
          <w:rFonts w:cstheme="minorHAnsi"/>
          <w:bCs/>
          <w:color w:val="auto"/>
          <w:u w:val="none"/>
        </w:rPr>
        <w:t xml:space="preserve">The PhenX (consensus measures for </w:t>
      </w:r>
      <w:r w:rsidRPr="00360666">
        <w:rPr>
          <w:rStyle w:val="Hyperlink"/>
          <w:rFonts w:cstheme="minorHAnsi"/>
          <w:b/>
          <w:color w:val="auto"/>
          <w:u w:val="none"/>
        </w:rPr>
        <w:t>Phen</w:t>
      </w:r>
      <w:r w:rsidRPr="00360666">
        <w:rPr>
          <w:rStyle w:val="Hyperlink"/>
          <w:rFonts w:cstheme="minorHAnsi"/>
          <w:bCs/>
          <w:color w:val="auto"/>
          <w:u w:val="none"/>
        </w:rPr>
        <w:t xml:space="preserve">otypes and </w:t>
      </w:r>
      <w:proofErr w:type="spellStart"/>
      <w:r w:rsidRPr="00360666">
        <w:rPr>
          <w:rStyle w:val="Hyperlink"/>
          <w:rFonts w:cstheme="minorHAnsi"/>
          <w:bCs/>
          <w:color w:val="auto"/>
          <w:u w:val="none"/>
        </w:rPr>
        <w:t>e</w:t>
      </w:r>
      <w:r w:rsidRPr="00360666">
        <w:rPr>
          <w:rStyle w:val="Hyperlink"/>
          <w:rFonts w:cstheme="minorHAnsi"/>
          <w:b/>
          <w:color w:val="auto"/>
          <w:u w:val="none"/>
        </w:rPr>
        <w:t>X</w:t>
      </w:r>
      <w:r w:rsidRPr="00360666">
        <w:rPr>
          <w:rStyle w:val="Hyperlink"/>
          <w:rFonts w:cstheme="minorHAnsi"/>
          <w:bCs/>
          <w:color w:val="auto"/>
          <w:u w:val="none"/>
        </w:rPr>
        <w:t>posures</w:t>
      </w:r>
      <w:proofErr w:type="spellEnd"/>
      <w:r w:rsidRPr="00360666">
        <w:rPr>
          <w:rStyle w:val="Hyperlink"/>
          <w:rFonts w:cstheme="minorHAnsi"/>
          <w:bCs/>
          <w:color w:val="auto"/>
          <w:u w:val="none"/>
        </w:rPr>
        <w:t>) Toolkit (www.phenxtoolkit.org) provides investigators with access to well-established, low burden, standardized measures to incorporate into new or existing biomedical studies involving human subjects. The goal of the Toolkit is to encourage use of common measures to help researchers effectively collaborate and share data.</w:t>
      </w:r>
    </w:p>
    <w:p w14:paraId="4D19AA95" w14:textId="393E80E6" w:rsidR="00A074CB" w:rsidRPr="00360666" w:rsidRDefault="001F3912" w:rsidP="005A3A58">
      <w:pPr>
        <w:rPr>
          <w:rFonts w:cstheme="minorHAnsi"/>
        </w:rPr>
      </w:pPr>
      <w:r w:rsidRPr="00360666">
        <w:rPr>
          <w:rFonts w:cstheme="minorHAnsi"/>
          <w:b/>
        </w:rPr>
        <w:t xml:space="preserve">The Social Determinants of Health (SDOH) Working Group (WG) requests your feedback on the measurement protocols shown below. Your feedback will help guide decisions about the measurement protocols to be included in a new Social Determinants of Health supplement in the </w:t>
      </w:r>
      <w:proofErr w:type="spellStart"/>
      <w:r w:rsidRPr="00360666">
        <w:rPr>
          <w:rFonts w:cstheme="minorHAnsi"/>
          <w:b/>
        </w:rPr>
        <w:t>PhenX</w:t>
      </w:r>
      <w:proofErr w:type="spellEnd"/>
      <w:r w:rsidRPr="00360666">
        <w:rPr>
          <w:rFonts w:cstheme="minorHAnsi"/>
          <w:b/>
        </w:rPr>
        <w:t xml:space="preserve"> Toolkit.  </w:t>
      </w:r>
      <w:r w:rsidR="00A074CB" w:rsidRPr="00360666">
        <w:rPr>
          <w:rFonts w:cstheme="minorHAnsi"/>
        </w:rPr>
        <w:t xml:space="preserve">The </w:t>
      </w:r>
      <w:proofErr w:type="spellStart"/>
      <w:r w:rsidR="00A074CB" w:rsidRPr="00360666">
        <w:rPr>
          <w:rFonts w:cstheme="minorHAnsi"/>
        </w:rPr>
        <w:t>PhenX</w:t>
      </w:r>
      <w:proofErr w:type="spellEnd"/>
      <w:r w:rsidR="00A074CB" w:rsidRPr="00360666">
        <w:rPr>
          <w:rFonts w:cstheme="minorHAnsi"/>
        </w:rPr>
        <w:t xml:space="preserve"> Toolkit already includes a number of protocols that are relevant to SDOH</w:t>
      </w:r>
      <w:r w:rsidR="005E7B28" w:rsidRPr="00360666">
        <w:rPr>
          <w:rFonts w:cstheme="minorHAnsi"/>
        </w:rPr>
        <w:t>, a</w:t>
      </w:r>
      <w:r w:rsidR="00A074CB" w:rsidRPr="00360666">
        <w:rPr>
          <w:rFonts w:cstheme="minorHAnsi"/>
        </w:rPr>
        <w:t xml:space="preserve"> complete list </w:t>
      </w:r>
      <w:r w:rsidR="005E7B28" w:rsidRPr="00360666">
        <w:rPr>
          <w:rFonts w:cstheme="minorHAnsi"/>
        </w:rPr>
        <w:t xml:space="preserve">of which is </w:t>
      </w:r>
      <w:r w:rsidR="00A074CB" w:rsidRPr="00360666">
        <w:rPr>
          <w:rFonts w:cstheme="minorHAnsi"/>
        </w:rPr>
        <w:t xml:space="preserve">here </w:t>
      </w:r>
      <w:hyperlink r:id="rId7" w:history="1">
        <w:r w:rsidR="004618D7" w:rsidRPr="00360666">
          <w:rPr>
            <w:rStyle w:val="Hyperlink"/>
            <w:rFonts w:cstheme="minorHAnsi"/>
          </w:rPr>
          <w:t>SDOH Protocols for Review</w:t>
        </w:r>
      </w:hyperlink>
      <w:r w:rsidR="004618D7" w:rsidRPr="00360666">
        <w:rPr>
          <w:rStyle w:val="Hyperlink"/>
          <w:rFonts w:cstheme="minorHAnsi"/>
        </w:rPr>
        <w:t>.</w:t>
      </w:r>
    </w:p>
    <w:p w14:paraId="14DE878A" w14:textId="4873E752" w:rsidR="00DF2752" w:rsidRPr="00360666" w:rsidRDefault="00DF2752" w:rsidP="00DF2752">
      <w:pPr>
        <w:spacing w:after="0"/>
        <w:rPr>
          <w:rFonts w:cstheme="minorHAnsi"/>
          <w:i/>
          <w:iCs/>
        </w:rPr>
      </w:pPr>
      <w:r w:rsidRPr="00360666">
        <w:rPr>
          <w:rFonts w:cstheme="minorHAnsi"/>
        </w:rPr>
        <w:t xml:space="preserve">Co-Chairs Barbara </w:t>
      </w:r>
      <w:proofErr w:type="spellStart"/>
      <w:r w:rsidRPr="00360666">
        <w:rPr>
          <w:rFonts w:cstheme="minorHAnsi"/>
        </w:rPr>
        <w:t>Entwisle</w:t>
      </w:r>
      <w:proofErr w:type="spellEnd"/>
      <w:r w:rsidRPr="00360666">
        <w:rPr>
          <w:rFonts w:cstheme="minorHAnsi"/>
        </w:rPr>
        <w:t xml:space="preserve">, PhD, University of North Carolina at Chapel Hill, and Alicia Fernandez, MD, University of California at San Francisco, thank you on behalf of the PhenX SDOH Working Group. </w:t>
      </w:r>
    </w:p>
    <w:p w14:paraId="04000054" w14:textId="77777777" w:rsidR="00DF2752" w:rsidRPr="00360666" w:rsidRDefault="00DF2752" w:rsidP="00DF2752">
      <w:pPr>
        <w:spacing w:after="0"/>
        <w:rPr>
          <w:rStyle w:val="Hyperlink"/>
          <w:rFonts w:cstheme="minorHAnsi"/>
          <w:i/>
          <w:iCs/>
          <w:color w:val="auto"/>
          <w:u w:val="none"/>
        </w:rPr>
      </w:pPr>
    </w:p>
    <w:p w14:paraId="240FA145" w14:textId="14CF8394" w:rsidR="00B84CBF" w:rsidRPr="00360666" w:rsidRDefault="00DF2752" w:rsidP="00B84CBF">
      <w:pPr>
        <w:spacing w:after="0"/>
        <w:rPr>
          <w:rFonts w:cstheme="minorHAnsi"/>
          <w:b/>
          <w:bCs/>
        </w:rPr>
      </w:pPr>
      <w:r w:rsidRPr="00360666">
        <w:rPr>
          <w:rFonts w:cstheme="minorHAnsi"/>
          <w:b/>
          <w:bCs/>
        </w:rPr>
        <w:t xml:space="preserve">To provide feedback, </w:t>
      </w:r>
      <w:bookmarkStart w:id="0" w:name="_GoBack"/>
      <w:bookmarkEnd w:id="0"/>
      <w:r w:rsidRPr="00360666">
        <w:rPr>
          <w:rFonts w:cstheme="minorHAnsi"/>
          <w:b/>
          <w:bCs/>
        </w:rPr>
        <w:t xml:space="preserve">for each measure in the table below, put a Y in the </w:t>
      </w:r>
      <w:r w:rsidR="005E7B28" w:rsidRPr="00360666">
        <w:rPr>
          <w:rFonts w:cstheme="minorHAnsi"/>
          <w:b/>
          <w:bCs/>
        </w:rPr>
        <w:t xml:space="preserve">third </w:t>
      </w:r>
      <w:r w:rsidRPr="00360666">
        <w:rPr>
          <w:rFonts w:cstheme="minorHAnsi"/>
          <w:b/>
          <w:bCs/>
        </w:rPr>
        <w:t xml:space="preserve">column if the measure is useful or an N if the measure is not useful. You may also respond with general comments. Please email your response to </w:t>
      </w:r>
      <w:hyperlink r:id="rId8" w:history="1">
        <w:r w:rsidRPr="00360666">
          <w:rPr>
            <w:rStyle w:val="Hyperlink"/>
            <w:rFonts w:cstheme="minorHAnsi"/>
            <w:b/>
            <w:bCs/>
            <w:i/>
            <w:iCs/>
          </w:rPr>
          <w:t>feedback@phenx.org</w:t>
        </w:r>
      </w:hyperlink>
      <w:r w:rsidRPr="00360666">
        <w:rPr>
          <w:rFonts w:cstheme="minorHAnsi"/>
          <w:b/>
          <w:bCs/>
          <w:i/>
          <w:iCs/>
        </w:rPr>
        <w:t xml:space="preserve"> </w:t>
      </w:r>
      <w:r w:rsidRPr="00360666">
        <w:rPr>
          <w:rFonts w:cstheme="minorHAnsi"/>
          <w:b/>
          <w:bCs/>
        </w:rPr>
        <w:t xml:space="preserve">by </w:t>
      </w:r>
      <w:r w:rsidR="00405BDF" w:rsidRPr="00360666">
        <w:rPr>
          <w:rFonts w:cstheme="minorHAnsi"/>
          <w:b/>
          <w:bCs/>
        </w:rPr>
        <w:t>February 5,</w:t>
      </w:r>
      <w:r w:rsidRPr="00360666">
        <w:rPr>
          <w:rFonts w:cstheme="minorHAnsi"/>
          <w:b/>
          <w:bCs/>
        </w:rPr>
        <w:t xml:space="preserve"> 20</w:t>
      </w:r>
      <w:r w:rsidR="008E2620" w:rsidRPr="00360666">
        <w:rPr>
          <w:rFonts w:cstheme="minorHAnsi"/>
          <w:b/>
          <w:bCs/>
        </w:rPr>
        <w:t>20</w:t>
      </w:r>
      <w:r w:rsidRPr="00360666">
        <w:rPr>
          <w:rFonts w:cstheme="minorHAnsi"/>
          <w:b/>
          <w:bCs/>
        </w:rPr>
        <w:t xml:space="preserve">. </w:t>
      </w:r>
      <w:r w:rsidRPr="00360666">
        <w:rPr>
          <w:rFonts w:cstheme="minorHAnsi"/>
        </w:rPr>
        <w:t>(Collected responses are confidential. E-mail addresses are not shared or used for any other purpose.)</w:t>
      </w:r>
    </w:p>
    <w:p w14:paraId="4920AAAE" w14:textId="77777777" w:rsidR="00DF2752" w:rsidRPr="00360666" w:rsidRDefault="00DF2752" w:rsidP="00B84CBF">
      <w:pPr>
        <w:spacing w:after="0"/>
        <w:rPr>
          <w:rFonts w:cstheme="minorHAnsi"/>
          <w:bCs/>
        </w:rPr>
      </w:pPr>
    </w:p>
    <w:p w14:paraId="46CFBACE" w14:textId="7ABE15C2" w:rsidR="009E1E5C" w:rsidRPr="00360666" w:rsidRDefault="007F3156" w:rsidP="004A3B0F">
      <w:pPr>
        <w:rPr>
          <w:rFonts w:cstheme="minorHAnsi"/>
        </w:rPr>
      </w:pPr>
      <w:r w:rsidRPr="00360666">
        <w:rPr>
          <w:rFonts w:cstheme="minorHAnsi"/>
        </w:rPr>
        <w:t xml:space="preserve">To review measure details, please click </w:t>
      </w:r>
      <w:r w:rsidR="00E21799" w:rsidRPr="00360666">
        <w:rPr>
          <w:rFonts w:cstheme="minorHAnsi"/>
        </w:rPr>
        <w:t xml:space="preserve">this link: </w:t>
      </w:r>
      <w:hyperlink r:id="rId9" w:history="1">
        <w:r w:rsidR="00375807" w:rsidRPr="00360666">
          <w:rPr>
            <w:rStyle w:val="Hyperlink"/>
            <w:rFonts w:cstheme="minorHAnsi"/>
          </w:rPr>
          <w:t>SDOH</w:t>
        </w:r>
        <w:r w:rsidR="004A3B0F" w:rsidRPr="00360666">
          <w:rPr>
            <w:rStyle w:val="Hyperlink"/>
            <w:rFonts w:cstheme="minorHAnsi"/>
          </w:rPr>
          <w:t xml:space="preserve"> Protocols for Review</w:t>
        </w:r>
      </w:hyperlink>
      <w:r w:rsidR="004A3B0F" w:rsidRPr="00360666">
        <w:rPr>
          <w:rFonts w:cstheme="minorHAnsi"/>
        </w:rPr>
        <w:t xml:space="preserve">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7110"/>
        <w:gridCol w:w="1620"/>
        <w:gridCol w:w="2070"/>
      </w:tblGrid>
      <w:tr w:rsidR="008A250C" w:rsidRPr="002F2E74" w14:paraId="30036035" w14:textId="0E79661B" w:rsidTr="000E30A0">
        <w:trPr>
          <w:trHeight w:val="195"/>
        </w:trPr>
        <w:tc>
          <w:tcPr>
            <w:tcW w:w="14125" w:type="dxa"/>
            <w:gridSpan w:val="4"/>
            <w:shd w:val="clear" w:color="auto" w:fill="95B3D7"/>
          </w:tcPr>
          <w:p w14:paraId="624ED60D" w14:textId="140C380E" w:rsidR="008A250C" w:rsidRPr="00360666" w:rsidRDefault="008A250C" w:rsidP="00F94638">
            <w:pPr>
              <w:jc w:val="center"/>
              <w:rPr>
                <w:rStyle w:val="Emphasis"/>
                <w:rFonts w:cstheme="minorHAnsi"/>
                <w:b/>
                <w:bCs/>
                <w:i w:val="0"/>
                <w:iCs w:val="0"/>
                <w:color w:val="000000"/>
              </w:rPr>
            </w:pPr>
            <w:r w:rsidRPr="00360666">
              <w:rPr>
                <w:rStyle w:val="Emphasis"/>
                <w:rFonts w:cstheme="minorHAnsi"/>
                <w:b/>
                <w:bCs/>
                <w:i w:val="0"/>
                <w:iCs w:val="0"/>
                <w:color w:val="000000"/>
              </w:rPr>
              <w:t>Proposed PhenX Social Determinants of Health Measure</w:t>
            </w:r>
            <w:r w:rsidR="00215DC3" w:rsidRPr="00360666">
              <w:rPr>
                <w:rStyle w:val="Emphasis"/>
                <w:rFonts w:cstheme="minorHAnsi"/>
                <w:b/>
                <w:bCs/>
                <w:i w:val="0"/>
                <w:iCs w:val="0"/>
                <w:color w:val="000000"/>
              </w:rPr>
              <w:t>ment Protocol</w:t>
            </w:r>
            <w:r w:rsidRPr="00360666">
              <w:rPr>
                <w:rStyle w:val="Emphasis"/>
                <w:rFonts w:cstheme="minorHAnsi"/>
                <w:b/>
                <w:bCs/>
                <w:i w:val="0"/>
                <w:iCs w:val="0"/>
                <w:color w:val="000000"/>
              </w:rPr>
              <w:t>s</w:t>
            </w:r>
          </w:p>
        </w:tc>
      </w:tr>
      <w:tr w:rsidR="008A250C" w:rsidRPr="002F2E74" w14:paraId="396CC388" w14:textId="05768C10" w:rsidTr="007957DB">
        <w:tblPrEx>
          <w:tblCellMar>
            <w:left w:w="0" w:type="dxa"/>
            <w:right w:w="0" w:type="dxa"/>
          </w:tblCellMar>
        </w:tblPrEx>
        <w:trPr>
          <w:trHeight w:val="322"/>
        </w:trPr>
        <w:tc>
          <w:tcPr>
            <w:tcW w:w="10435" w:type="dxa"/>
            <w:gridSpan w:val="2"/>
            <w:shd w:val="clear" w:color="auto" w:fill="95B3D7"/>
            <w:tcMar>
              <w:top w:w="0" w:type="dxa"/>
              <w:left w:w="108" w:type="dxa"/>
              <w:bottom w:w="0" w:type="dxa"/>
              <w:right w:w="108" w:type="dxa"/>
            </w:tcMar>
          </w:tcPr>
          <w:p w14:paraId="0C8E907F" w14:textId="77777777" w:rsidR="008A250C" w:rsidRPr="00360666" w:rsidRDefault="008A250C" w:rsidP="008C18A6">
            <w:pPr>
              <w:rPr>
                <w:rFonts w:cstheme="minorHAnsi"/>
              </w:rPr>
            </w:pPr>
            <w:r w:rsidRPr="00360666">
              <w:rPr>
                <w:rStyle w:val="Emphasis"/>
                <w:rFonts w:cstheme="minorHAnsi"/>
                <w:b/>
                <w:bCs/>
                <w:color w:val="000000"/>
              </w:rPr>
              <w:t>Please Review:</w:t>
            </w:r>
          </w:p>
        </w:tc>
        <w:tc>
          <w:tcPr>
            <w:tcW w:w="1620" w:type="dxa"/>
            <w:shd w:val="clear" w:color="auto" w:fill="95B3D7"/>
            <w:tcMar>
              <w:top w:w="0" w:type="dxa"/>
              <w:left w:w="108" w:type="dxa"/>
              <w:bottom w:w="0" w:type="dxa"/>
              <w:right w:w="108" w:type="dxa"/>
            </w:tcMar>
          </w:tcPr>
          <w:p w14:paraId="544A174D" w14:textId="77777777" w:rsidR="008A250C" w:rsidRPr="00360666" w:rsidRDefault="008A250C" w:rsidP="008C18A6">
            <w:pPr>
              <w:jc w:val="center"/>
              <w:rPr>
                <w:rFonts w:cstheme="minorHAnsi"/>
              </w:rPr>
            </w:pPr>
            <w:r w:rsidRPr="00360666">
              <w:rPr>
                <w:rStyle w:val="Emphasis"/>
                <w:rFonts w:cstheme="minorHAnsi"/>
                <w:b/>
                <w:bCs/>
                <w:color w:val="000000"/>
              </w:rPr>
              <w:t>Respond Here:</w:t>
            </w:r>
          </w:p>
        </w:tc>
        <w:tc>
          <w:tcPr>
            <w:tcW w:w="2070" w:type="dxa"/>
            <w:shd w:val="clear" w:color="auto" w:fill="95B3D7"/>
          </w:tcPr>
          <w:p w14:paraId="2FE80566" w14:textId="348FC720" w:rsidR="008A250C" w:rsidRPr="00360666" w:rsidRDefault="008A250C" w:rsidP="008C18A6">
            <w:pPr>
              <w:jc w:val="center"/>
              <w:rPr>
                <w:rStyle w:val="Emphasis"/>
                <w:rFonts w:cstheme="minorHAnsi"/>
                <w:b/>
                <w:bCs/>
                <w:color w:val="000000"/>
              </w:rPr>
            </w:pPr>
            <w:r w:rsidRPr="00360666">
              <w:rPr>
                <w:rStyle w:val="Emphasis"/>
                <w:rFonts w:cstheme="minorHAnsi"/>
                <w:b/>
                <w:bCs/>
                <w:color w:val="000000"/>
              </w:rPr>
              <w:t>Comment</w:t>
            </w:r>
            <w:r w:rsidR="001A6B6D" w:rsidRPr="00360666">
              <w:rPr>
                <w:rStyle w:val="Emphasis"/>
                <w:rFonts w:cstheme="minorHAnsi"/>
                <w:b/>
                <w:bCs/>
                <w:color w:val="000000"/>
              </w:rPr>
              <w:t xml:space="preserve"> Here:</w:t>
            </w:r>
          </w:p>
        </w:tc>
      </w:tr>
      <w:tr w:rsidR="008A250C" w:rsidRPr="002F2E74" w14:paraId="2676C6C2" w14:textId="7323EDBF" w:rsidTr="00723E18">
        <w:tblPrEx>
          <w:tblCellMar>
            <w:left w:w="0" w:type="dxa"/>
            <w:right w:w="0" w:type="dxa"/>
          </w:tblCellMar>
        </w:tblPrEx>
        <w:tc>
          <w:tcPr>
            <w:tcW w:w="3325" w:type="dxa"/>
            <w:shd w:val="clear" w:color="auto" w:fill="auto"/>
            <w:tcMar>
              <w:top w:w="0" w:type="dxa"/>
              <w:left w:w="108" w:type="dxa"/>
              <w:bottom w:w="0" w:type="dxa"/>
              <w:right w:w="108" w:type="dxa"/>
            </w:tcMar>
          </w:tcPr>
          <w:p w14:paraId="1C961B17" w14:textId="77777777" w:rsidR="008A250C" w:rsidRPr="00360666" w:rsidRDefault="008A250C" w:rsidP="00A23FAE">
            <w:pPr>
              <w:jc w:val="center"/>
              <w:rPr>
                <w:rFonts w:cstheme="minorHAnsi"/>
              </w:rPr>
            </w:pPr>
            <w:r w:rsidRPr="00360666">
              <w:rPr>
                <w:rStyle w:val="Strong"/>
                <w:rFonts w:cstheme="minorHAnsi"/>
                <w:color w:val="000000"/>
              </w:rPr>
              <w:t>Measure</w:t>
            </w:r>
          </w:p>
        </w:tc>
        <w:tc>
          <w:tcPr>
            <w:tcW w:w="7110" w:type="dxa"/>
            <w:shd w:val="clear" w:color="auto" w:fill="auto"/>
            <w:tcMar>
              <w:top w:w="0" w:type="dxa"/>
              <w:left w:w="108" w:type="dxa"/>
              <w:bottom w:w="0" w:type="dxa"/>
              <w:right w:w="108" w:type="dxa"/>
            </w:tcMar>
          </w:tcPr>
          <w:p w14:paraId="4599FD4C" w14:textId="77777777" w:rsidR="008A250C" w:rsidRPr="00360666" w:rsidRDefault="008A250C" w:rsidP="00723E18">
            <w:pPr>
              <w:ind w:left="-10" w:hanging="90"/>
              <w:jc w:val="center"/>
              <w:rPr>
                <w:rFonts w:cstheme="minorHAnsi"/>
              </w:rPr>
            </w:pPr>
            <w:r w:rsidRPr="00360666">
              <w:rPr>
                <w:rStyle w:val="Strong"/>
                <w:rFonts w:cstheme="minorHAnsi"/>
                <w:color w:val="000000"/>
              </w:rPr>
              <w:t>Description of Measurement Protocol</w:t>
            </w:r>
          </w:p>
        </w:tc>
        <w:tc>
          <w:tcPr>
            <w:tcW w:w="1620" w:type="dxa"/>
            <w:shd w:val="clear" w:color="auto" w:fill="auto"/>
            <w:tcMar>
              <w:top w:w="0" w:type="dxa"/>
              <w:left w:w="108" w:type="dxa"/>
              <w:bottom w:w="0" w:type="dxa"/>
              <w:right w:w="108" w:type="dxa"/>
            </w:tcMar>
          </w:tcPr>
          <w:p w14:paraId="3F973270" w14:textId="77777777" w:rsidR="008A250C" w:rsidRPr="00360666" w:rsidRDefault="008A250C" w:rsidP="008C18A6">
            <w:pPr>
              <w:jc w:val="center"/>
              <w:rPr>
                <w:rFonts w:cstheme="minorHAnsi"/>
              </w:rPr>
            </w:pPr>
            <w:r w:rsidRPr="00360666">
              <w:rPr>
                <w:rStyle w:val="Strong"/>
                <w:rFonts w:cstheme="minorHAnsi"/>
                <w:color w:val="000000"/>
              </w:rPr>
              <w:t>Y/N</w:t>
            </w:r>
          </w:p>
        </w:tc>
        <w:tc>
          <w:tcPr>
            <w:tcW w:w="2070" w:type="dxa"/>
          </w:tcPr>
          <w:p w14:paraId="4464B478" w14:textId="77777777" w:rsidR="008A250C" w:rsidRPr="00360666" w:rsidRDefault="008A250C" w:rsidP="008C18A6">
            <w:pPr>
              <w:jc w:val="center"/>
              <w:rPr>
                <w:rStyle w:val="Strong"/>
                <w:rFonts w:cstheme="minorHAnsi"/>
                <w:color w:val="000000"/>
              </w:rPr>
            </w:pPr>
          </w:p>
        </w:tc>
      </w:tr>
      <w:tr w:rsidR="008A250C" w:rsidRPr="002F2E74" w14:paraId="7B512EE4" w14:textId="5F6A9365" w:rsidTr="00723E18">
        <w:tblPrEx>
          <w:tblCellMar>
            <w:left w:w="0" w:type="dxa"/>
            <w:right w:w="0" w:type="dxa"/>
          </w:tblCellMar>
        </w:tblPrEx>
        <w:tc>
          <w:tcPr>
            <w:tcW w:w="3325" w:type="dxa"/>
            <w:shd w:val="clear" w:color="auto" w:fill="auto"/>
            <w:tcMar>
              <w:top w:w="0" w:type="dxa"/>
              <w:left w:w="108" w:type="dxa"/>
              <w:bottom w:w="0" w:type="dxa"/>
              <w:right w:w="108" w:type="dxa"/>
            </w:tcMar>
          </w:tcPr>
          <w:p w14:paraId="3B8A5231" w14:textId="1984B3BD" w:rsidR="008A250C" w:rsidRPr="00360666" w:rsidRDefault="001F3912" w:rsidP="008C18A6">
            <w:pPr>
              <w:rPr>
                <w:rFonts w:cstheme="minorHAnsi"/>
                <w:b/>
                <w:bCs/>
              </w:rPr>
            </w:pPr>
            <w:r w:rsidRPr="00360666">
              <w:rPr>
                <w:rFonts w:cstheme="minorHAnsi"/>
                <w:b/>
                <w:bCs/>
              </w:rPr>
              <w:t>1</w:t>
            </w:r>
            <w:r w:rsidR="00491F78" w:rsidRPr="00360666">
              <w:rPr>
                <w:rFonts w:cstheme="minorHAnsi"/>
                <w:b/>
                <w:bCs/>
              </w:rPr>
              <w:t xml:space="preserve">. </w:t>
            </w:r>
            <w:r w:rsidR="00F47F25" w:rsidRPr="00360666">
              <w:rPr>
                <w:rFonts w:cstheme="minorHAnsi"/>
                <w:b/>
                <w:bCs/>
              </w:rPr>
              <w:t>Access to Health Services</w:t>
            </w:r>
          </w:p>
        </w:tc>
        <w:tc>
          <w:tcPr>
            <w:tcW w:w="7110" w:type="dxa"/>
            <w:tcMar>
              <w:top w:w="0" w:type="dxa"/>
              <w:left w:w="108" w:type="dxa"/>
              <w:bottom w:w="0" w:type="dxa"/>
              <w:right w:w="108" w:type="dxa"/>
            </w:tcMar>
          </w:tcPr>
          <w:p w14:paraId="447FE589" w14:textId="2E33BAE3" w:rsidR="008A250C" w:rsidRPr="00360666" w:rsidRDefault="00F47F25" w:rsidP="00723E18">
            <w:pPr>
              <w:spacing w:line="240" w:lineRule="auto"/>
              <w:contextualSpacing/>
              <w:rPr>
                <w:rFonts w:cstheme="minorHAnsi"/>
              </w:rPr>
            </w:pPr>
            <w:r w:rsidRPr="00360666">
              <w:rPr>
                <w:rFonts w:cstheme="minorHAnsi"/>
                <w:shd w:val="clear" w:color="auto" w:fill="FFFFFF"/>
              </w:rPr>
              <w:t xml:space="preserve">This protocol includes 12 interviewer-administered questions from the </w:t>
            </w:r>
            <w:r w:rsidRPr="00360666">
              <w:rPr>
                <w:rFonts w:cstheme="minorHAnsi"/>
              </w:rPr>
              <w:t xml:space="preserve">National Health Interview Survey (NHIS) Adult Access to Health Care &amp; Utilization Module.  Seven questions capture </w:t>
            </w:r>
            <w:r w:rsidRPr="00360666">
              <w:rPr>
                <w:rFonts w:cstheme="minorHAnsi"/>
                <w:shd w:val="clear" w:color="auto" w:fill="FFFFFF"/>
              </w:rPr>
              <w:t>usual place of care and five questions address failure to obtain medical care.</w:t>
            </w:r>
          </w:p>
        </w:tc>
        <w:tc>
          <w:tcPr>
            <w:tcW w:w="1620" w:type="dxa"/>
            <w:tcMar>
              <w:top w:w="0" w:type="dxa"/>
              <w:left w:w="108" w:type="dxa"/>
              <w:bottom w:w="0" w:type="dxa"/>
              <w:right w:w="108" w:type="dxa"/>
            </w:tcMar>
          </w:tcPr>
          <w:p w14:paraId="79959A66" w14:textId="77777777" w:rsidR="008A250C" w:rsidRPr="00360666" w:rsidRDefault="008A250C" w:rsidP="008C18A6">
            <w:pPr>
              <w:jc w:val="center"/>
              <w:rPr>
                <w:rFonts w:cstheme="minorHAnsi"/>
              </w:rPr>
            </w:pPr>
          </w:p>
        </w:tc>
        <w:tc>
          <w:tcPr>
            <w:tcW w:w="2070" w:type="dxa"/>
          </w:tcPr>
          <w:p w14:paraId="16A57DAF" w14:textId="77777777" w:rsidR="008A250C" w:rsidRPr="00360666" w:rsidRDefault="008A250C" w:rsidP="008C18A6">
            <w:pPr>
              <w:jc w:val="center"/>
              <w:rPr>
                <w:rFonts w:cstheme="minorHAnsi"/>
              </w:rPr>
            </w:pPr>
          </w:p>
        </w:tc>
      </w:tr>
      <w:tr w:rsidR="008A250C" w:rsidRPr="002F2E74" w14:paraId="64F457DC" w14:textId="65D35CF1" w:rsidTr="00723E18">
        <w:tblPrEx>
          <w:tblCellMar>
            <w:left w:w="0" w:type="dxa"/>
            <w:right w:w="0" w:type="dxa"/>
          </w:tblCellMar>
        </w:tblPrEx>
        <w:tc>
          <w:tcPr>
            <w:tcW w:w="3325" w:type="dxa"/>
            <w:shd w:val="clear" w:color="auto" w:fill="auto"/>
            <w:tcMar>
              <w:top w:w="0" w:type="dxa"/>
              <w:left w:w="108" w:type="dxa"/>
              <w:bottom w:w="0" w:type="dxa"/>
              <w:right w:w="108" w:type="dxa"/>
            </w:tcMar>
          </w:tcPr>
          <w:p w14:paraId="7480DA22" w14:textId="1E37A942" w:rsidR="008A250C" w:rsidRPr="00360666" w:rsidRDefault="001F3912" w:rsidP="00DF5C55">
            <w:pPr>
              <w:rPr>
                <w:rFonts w:cstheme="minorHAnsi"/>
                <w:b/>
                <w:bCs/>
              </w:rPr>
            </w:pPr>
            <w:r w:rsidRPr="00360666">
              <w:rPr>
                <w:rFonts w:cstheme="minorHAnsi"/>
                <w:b/>
                <w:bCs/>
              </w:rPr>
              <w:t>2</w:t>
            </w:r>
            <w:r w:rsidR="00491F78" w:rsidRPr="00360666">
              <w:rPr>
                <w:rFonts w:cstheme="minorHAnsi"/>
                <w:b/>
                <w:bCs/>
              </w:rPr>
              <w:t xml:space="preserve">. </w:t>
            </w:r>
            <w:bookmarkStart w:id="1" w:name="_Hlk5087864"/>
            <w:r w:rsidR="00A23FAE" w:rsidRPr="00360666">
              <w:rPr>
                <w:rFonts w:cstheme="minorHAnsi"/>
                <w:b/>
                <w:bCs/>
              </w:rPr>
              <w:t>Air Quality Index</w:t>
            </w:r>
            <w:bookmarkEnd w:id="1"/>
          </w:p>
        </w:tc>
        <w:tc>
          <w:tcPr>
            <w:tcW w:w="7110" w:type="dxa"/>
            <w:shd w:val="clear" w:color="auto" w:fill="FFFFFF"/>
            <w:tcMar>
              <w:top w:w="0" w:type="dxa"/>
              <w:left w:w="108" w:type="dxa"/>
              <w:bottom w:w="0" w:type="dxa"/>
              <w:right w:w="108" w:type="dxa"/>
            </w:tcMar>
          </w:tcPr>
          <w:p w14:paraId="0E3D4D8E" w14:textId="52FAE515" w:rsidR="008A250C" w:rsidRPr="00360666" w:rsidRDefault="00F47F25" w:rsidP="00723E18">
            <w:pPr>
              <w:autoSpaceDE w:val="0"/>
              <w:autoSpaceDN w:val="0"/>
              <w:adjustRightInd w:val="0"/>
              <w:spacing w:line="240" w:lineRule="auto"/>
              <w:contextualSpacing/>
              <w:rPr>
                <w:rFonts w:cstheme="minorHAnsi"/>
                <w:bCs/>
              </w:rPr>
            </w:pPr>
            <w:r w:rsidRPr="00360666">
              <w:rPr>
                <w:rFonts w:cstheme="minorHAnsi"/>
              </w:rPr>
              <w:t xml:space="preserve">This protocol is based on extracting air quality data from the U.S. Environmental Protection Agency (EPA) </w:t>
            </w:r>
            <w:proofErr w:type="spellStart"/>
            <w:r w:rsidRPr="00360666">
              <w:rPr>
                <w:rFonts w:cstheme="minorHAnsi"/>
                <w:bCs/>
              </w:rPr>
              <w:t>AirData</w:t>
            </w:r>
            <w:proofErr w:type="spellEnd"/>
            <w:r w:rsidRPr="00360666">
              <w:rPr>
                <w:rFonts w:cstheme="minorHAnsi"/>
                <w:bCs/>
              </w:rPr>
              <w:t xml:space="preserve"> Air Quality Index Summary Report. This summary report displays an annual summary of Air Quality </w:t>
            </w:r>
            <w:r w:rsidRPr="00360666">
              <w:rPr>
                <w:rFonts w:cstheme="minorHAnsi"/>
                <w:bCs/>
              </w:rPr>
              <w:lastRenderedPageBreak/>
              <w:t>Index (AQI) values for states, counties or cities (defined by core based statistical areas (CBSA)). The AQI is determined using measured concentrations of carbon monoxide (CO), Nitrogen Dioxide (NO2), ozone (O3), particulate matter with a diameter of less than 2.5 micrometers (PM2.5), and sulfur dioxide (SO2).  Standard EPA formulas convert the measured pollutant concentrations to an AQI value between 0 and 500.  AQI values are associated with risk categories (e.g., Good, Moderate, Unhealthy).  The pollutant with the highest AQI is reported as the overall AQI value for the day. Each row of the AQI Summary Report lists several qualitative measures (e.g., days with "good" air quality) and descriptive statistics (e.g., median AQI value, for example) for one year for one county or core based statistical area.</w:t>
            </w:r>
          </w:p>
        </w:tc>
        <w:tc>
          <w:tcPr>
            <w:tcW w:w="1620" w:type="dxa"/>
            <w:shd w:val="clear" w:color="auto" w:fill="FFFFFF"/>
            <w:tcMar>
              <w:top w:w="0" w:type="dxa"/>
              <w:left w:w="108" w:type="dxa"/>
              <w:bottom w:w="0" w:type="dxa"/>
              <w:right w:w="108" w:type="dxa"/>
            </w:tcMar>
          </w:tcPr>
          <w:p w14:paraId="60D4F628" w14:textId="77777777" w:rsidR="008A250C" w:rsidRPr="00360666" w:rsidRDefault="008A250C" w:rsidP="008C18A6">
            <w:pPr>
              <w:jc w:val="center"/>
              <w:rPr>
                <w:rFonts w:cstheme="minorHAnsi"/>
              </w:rPr>
            </w:pPr>
          </w:p>
        </w:tc>
        <w:tc>
          <w:tcPr>
            <w:tcW w:w="2070" w:type="dxa"/>
            <w:shd w:val="clear" w:color="auto" w:fill="FFFFFF"/>
          </w:tcPr>
          <w:p w14:paraId="78A1767E" w14:textId="77777777" w:rsidR="008A250C" w:rsidRPr="00360666" w:rsidRDefault="008A250C" w:rsidP="008C18A6">
            <w:pPr>
              <w:jc w:val="center"/>
              <w:rPr>
                <w:rFonts w:cstheme="minorHAnsi"/>
              </w:rPr>
            </w:pPr>
          </w:p>
        </w:tc>
      </w:tr>
      <w:tr w:rsidR="008A250C" w:rsidRPr="002F2E74" w14:paraId="43CCF933" w14:textId="654BC405" w:rsidTr="00723E18">
        <w:tblPrEx>
          <w:tblCellMar>
            <w:left w:w="0" w:type="dxa"/>
            <w:right w:w="0" w:type="dxa"/>
          </w:tblCellMar>
        </w:tblPrEx>
        <w:tc>
          <w:tcPr>
            <w:tcW w:w="3325" w:type="dxa"/>
            <w:shd w:val="clear" w:color="auto" w:fill="auto"/>
            <w:tcMar>
              <w:top w:w="0" w:type="dxa"/>
              <w:left w:w="108" w:type="dxa"/>
              <w:bottom w:w="0" w:type="dxa"/>
              <w:right w:w="108" w:type="dxa"/>
            </w:tcMar>
          </w:tcPr>
          <w:p w14:paraId="0CDB9261" w14:textId="3A46257D" w:rsidR="008A250C" w:rsidRPr="00360666" w:rsidRDefault="001F3912" w:rsidP="008C18A6">
            <w:pPr>
              <w:rPr>
                <w:rFonts w:cstheme="minorHAnsi"/>
                <w:b/>
                <w:bCs/>
              </w:rPr>
            </w:pPr>
            <w:r w:rsidRPr="00360666">
              <w:rPr>
                <w:rFonts w:cstheme="minorHAnsi"/>
                <w:b/>
                <w:bCs/>
              </w:rPr>
              <w:t>3</w:t>
            </w:r>
            <w:r w:rsidR="00491F78" w:rsidRPr="00360666">
              <w:rPr>
                <w:rFonts w:cstheme="minorHAnsi"/>
                <w:b/>
                <w:bCs/>
              </w:rPr>
              <w:t xml:space="preserve">. </w:t>
            </w:r>
            <w:r w:rsidR="00193870" w:rsidRPr="00360666">
              <w:rPr>
                <w:rFonts w:cstheme="minorHAnsi"/>
                <w:b/>
                <w:bCs/>
              </w:rPr>
              <w:t xml:space="preserve">Concentrated Poverty </w:t>
            </w:r>
          </w:p>
        </w:tc>
        <w:tc>
          <w:tcPr>
            <w:tcW w:w="7110" w:type="dxa"/>
            <w:shd w:val="clear" w:color="auto" w:fill="FFFFFF"/>
            <w:tcMar>
              <w:top w:w="0" w:type="dxa"/>
              <w:left w:w="108" w:type="dxa"/>
              <w:bottom w:w="0" w:type="dxa"/>
              <w:right w:w="108" w:type="dxa"/>
            </w:tcMar>
          </w:tcPr>
          <w:p w14:paraId="5E8B4597" w14:textId="7E333CE7" w:rsidR="008A250C" w:rsidRPr="00360666" w:rsidRDefault="00193870" w:rsidP="00723E18">
            <w:pPr>
              <w:spacing w:line="240" w:lineRule="auto"/>
              <w:contextualSpacing/>
              <w:rPr>
                <w:rFonts w:eastAsia="Times New Roman" w:cstheme="minorHAnsi"/>
              </w:rPr>
            </w:pPr>
            <w:bookmarkStart w:id="2" w:name="_Hlk8890013"/>
            <w:r w:rsidRPr="00360666">
              <w:rPr>
                <w:rFonts w:eastAsia="Times New Roman" w:cstheme="minorHAnsi"/>
              </w:rPr>
              <w:t>The protocol is based on extracting data from the U.S. Census Bureau on variables related to the concept of "concentrated poverty". All the relevant variables are available from the 5-year American Community Survey (ACS) estimates. The variables are based on data from the last 12 months and a high poverty area is defined as having a poverty level of 40%.</w:t>
            </w:r>
            <w:bookmarkEnd w:id="2"/>
          </w:p>
        </w:tc>
        <w:tc>
          <w:tcPr>
            <w:tcW w:w="1620" w:type="dxa"/>
            <w:shd w:val="clear" w:color="auto" w:fill="FFFFFF"/>
            <w:tcMar>
              <w:top w:w="0" w:type="dxa"/>
              <w:left w:w="108" w:type="dxa"/>
              <w:bottom w:w="0" w:type="dxa"/>
              <w:right w:w="108" w:type="dxa"/>
            </w:tcMar>
          </w:tcPr>
          <w:p w14:paraId="1FF98E18" w14:textId="77777777" w:rsidR="008A250C" w:rsidRPr="00360666" w:rsidRDefault="008A250C" w:rsidP="008C18A6">
            <w:pPr>
              <w:jc w:val="center"/>
              <w:rPr>
                <w:rFonts w:cstheme="minorHAnsi"/>
              </w:rPr>
            </w:pPr>
          </w:p>
        </w:tc>
        <w:tc>
          <w:tcPr>
            <w:tcW w:w="2070" w:type="dxa"/>
            <w:shd w:val="clear" w:color="auto" w:fill="FFFFFF"/>
          </w:tcPr>
          <w:p w14:paraId="26ABE496" w14:textId="77777777" w:rsidR="008A250C" w:rsidRPr="00360666" w:rsidRDefault="008A250C" w:rsidP="008C18A6">
            <w:pPr>
              <w:jc w:val="center"/>
              <w:rPr>
                <w:rFonts w:cstheme="minorHAnsi"/>
              </w:rPr>
            </w:pPr>
          </w:p>
        </w:tc>
      </w:tr>
      <w:tr w:rsidR="008A250C" w:rsidRPr="00BE3F74" w14:paraId="6BBD5DCC" w14:textId="2B6D1022" w:rsidTr="00723E18">
        <w:tblPrEx>
          <w:tblCellMar>
            <w:left w:w="0" w:type="dxa"/>
            <w:right w:w="0" w:type="dxa"/>
          </w:tblCellMar>
        </w:tblPrEx>
        <w:trPr>
          <w:trHeight w:val="647"/>
        </w:trPr>
        <w:tc>
          <w:tcPr>
            <w:tcW w:w="3325" w:type="dxa"/>
            <w:shd w:val="clear" w:color="auto" w:fill="auto"/>
            <w:tcMar>
              <w:top w:w="0" w:type="dxa"/>
              <w:left w:w="108" w:type="dxa"/>
              <w:bottom w:w="0" w:type="dxa"/>
              <w:right w:w="108" w:type="dxa"/>
            </w:tcMar>
          </w:tcPr>
          <w:p w14:paraId="2980E222" w14:textId="486E1550" w:rsidR="008A250C" w:rsidRPr="00360666" w:rsidRDefault="001F3912" w:rsidP="009F5A5B">
            <w:pPr>
              <w:spacing w:line="240" w:lineRule="auto"/>
              <w:contextualSpacing/>
              <w:rPr>
                <w:rFonts w:cstheme="minorHAnsi"/>
                <w:b/>
                <w:bCs/>
              </w:rPr>
            </w:pPr>
            <w:r w:rsidRPr="00360666">
              <w:rPr>
                <w:rFonts w:cstheme="minorHAnsi"/>
                <w:b/>
                <w:bCs/>
              </w:rPr>
              <w:t>4</w:t>
            </w:r>
            <w:r w:rsidR="00491F78" w:rsidRPr="00360666">
              <w:rPr>
                <w:rFonts w:cstheme="minorHAnsi"/>
                <w:b/>
                <w:bCs/>
              </w:rPr>
              <w:t xml:space="preserve">. </w:t>
            </w:r>
            <w:r w:rsidR="00A23FAE" w:rsidRPr="00360666">
              <w:rPr>
                <w:rFonts w:cstheme="minorHAnsi"/>
                <w:b/>
                <w:bCs/>
              </w:rPr>
              <w:t>Disparate Health Care Quality</w:t>
            </w:r>
          </w:p>
        </w:tc>
        <w:tc>
          <w:tcPr>
            <w:tcW w:w="7110" w:type="dxa"/>
            <w:shd w:val="clear" w:color="auto" w:fill="FFFFFF"/>
            <w:tcMar>
              <w:top w:w="0" w:type="dxa"/>
              <w:left w:w="108" w:type="dxa"/>
              <w:bottom w:w="0" w:type="dxa"/>
              <w:right w:w="108" w:type="dxa"/>
            </w:tcMar>
          </w:tcPr>
          <w:p w14:paraId="50700C91" w14:textId="17EACFEC" w:rsidR="008A250C" w:rsidRPr="00360666" w:rsidRDefault="00193870" w:rsidP="00723E18">
            <w:pPr>
              <w:spacing w:line="240" w:lineRule="auto"/>
              <w:contextualSpacing/>
              <w:rPr>
                <w:rFonts w:cstheme="minorHAnsi"/>
              </w:rPr>
            </w:pPr>
            <w:bookmarkStart w:id="3" w:name="_Hlk8893982"/>
            <w:r w:rsidRPr="00360666">
              <w:rPr>
                <w:rFonts w:cstheme="minorHAnsi"/>
              </w:rPr>
              <w:t>A protocol to examine the perception of prejudice, stereotyping and discrimination in clinical encounters and experience.</w:t>
            </w:r>
            <w:bookmarkEnd w:id="3"/>
          </w:p>
        </w:tc>
        <w:tc>
          <w:tcPr>
            <w:tcW w:w="1620" w:type="dxa"/>
            <w:shd w:val="clear" w:color="auto" w:fill="FFFFFF"/>
            <w:tcMar>
              <w:top w:w="0" w:type="dxa"/>
              <w:left w:w="108" w:type="dxa"/>
              <w:bottom w:w="0" w:type="dxa"/>
              <w:right w:w="108" w:type="dxa"/>
            </w:tcMar>
          </w:tcPr>
          <w:p w14:paraId="759EE4D3" w14:textId="77777777" w:rsidR="008A250C" w:rsidRPr="00360666" w:rsidRDefault="008A250C" w:rsidP="008C18A6">
            <w:pPr>
              <w:jc w:val="center"/>
              <w:rPr>
                <w:rFonts w:cstheme="minorHAnsi"/>
              </w:rPr>
            </w:pPr>
          </w:p>
        </w:tc>
        <w:tc>
          <w:tcPr>
            <w:tcW w:w="2070" w:type="dxa"/>
            <w:shd w:val="clear" w:color="auto" w:fill="FFFFFF"/>
          </w:tcPr>
          <w:p w14:paraId="1210A053" w14:textId="77777777" w:rsidR="008A250C" w:rsidRPr="00360666" w:rsidRDefault="008A250C" w:rsidP="008C18A6">
            <w:pPr>
              <w:jc w:val="center"/>
              <w:rPr>
                <w:rFonts w:cstheme="minorHAnsi"/>
              </w:rPr>
            </w:pPr>
          </w:p>
        </w:tc>
      </w:tr>
      <w:tr w:rsidR="001F3912" w:rsidRPr="00BE3F74" w14:paraId="288CD5D9" w14:textId="77777777" w:rsidTr="00723E18">
        <w:tblPrEx>
          <w:tblCellMar>
            <w:left w:w="0" w:type="dxa"/>
            <w:right w:w="0" w:type="dxa"/>
          </w:tblCellMar>
        </w:tblPrEx>
        <w:trPr>
          <w:trHeight w:val="647"/>
        </w:trPr>
        <w:tc>
          <w:tcPr>
            <w:tcW w:w="3325" w:type="dxa"/>
            <w:shd w:val="clear" w:color="auto" w:fill="auto"/>
            <w:tcMar>
              <w:top w:w="0" w:type="dxa"/>
              <w:left w:w="108" w:type="dxa"/>
              <w:bottom w:w="0" w:type="dxa"/>
              <w:right w:w="108" w:type="dxa"/>
            </w:tcMar>
          </w:tcPr>
          <w:p w14:paraId="2808C74A" w14:textId="733EBB32" w:rsidR="001F3912" w:rsidRPr="00360666" w:rsidRDefault="001F3912" w:rsidP="009F5A5B">
            <w:pPr>
              <w:spacing w:line="240" w:lineRule="auto"/>
              <w:contextualSpacing/>
              <w:rPr>
                <w:rFonts w:cstheme="minorHAnsi"/>
                <w:b/>
                <w:bCs/>
              </w:rPr>
            </w:pPr>
            <w:r w:rsidRPr="00360666">
              <w:rPr>
                <w:rFonts w:cstheme="minorHAnsi"/>
                <w:b/>
                <w:bCs/>
              </w:rPr>
              <w:t>5. Educational Attainment- Community</w:t>
            </w:r>
          </w:p>
        </w:tc>
        <w:tc>
          <w:tcPr>
            <w:tcW w:w="7110" w:type="dxa"/>
            <w:shd w:val="clear" w:color="auto" w:fill="FFFFFF"/>
            <w:tcMar>
              <w:top w:w="0" w:type="dxa"/>
              <w:left w:w="108" w:type="dxa"/>
              <w:bottom w:w="0" w:type="dxa"/>
              <w:right w:w="108" w:type="dxa"/>
            </w:tcMar>
          </w:tcPr>
          <w:p w14:paraId="73D226E4" w14:textId="35176209" w:rsidR="001F3912" w:rsidRPr="00360666" w:rsidRDefault="001F3912" w:rsidP="00723E18">
            <w:pPr>
              <w:spacing w:line="240" w:lineRule="auto"/>
              <w:contextualSpacing/>
              <w:rPr>
                <w:rFonts w:cstheme="minorHAnsi"/>
              </w:rPr>
            </w:pPr>
            <w:r w:rsidRPr="00360666">
              <w:rPr>
                <w:rFonts w:cstheme="minorHAnsi"/>
                <w:shd w:val="clear" w:color="auto" w:fill="FFFFFF"/>
              </w:rPr>
              <w:t>The protocol is based on extracting data from the U.S. Census Bureau related to educational attainment for a community.</w:t>
            </w:r>
            <w:r w:rsidRPr="00360666">
              <w:rPr>
                <w:rFonts w:cstheme="minorHAnsi"/>
              </w:rPr>
              <w:t xml:space="preserve"> This protocol assesses the educational environment in which a person lives, which is a different concept than individual level educational attainment.   The protocol identifies the percent of persons with a college degree living in a geographic (census) area. </w:t>
            </w:r>
            <w:r w:rsidRPr="00360666">
              <w:rPr>
                <w:rFonts w:cstheme="minorHAnsi"/>
                <w:shd w:val="clear" w:color="auto" w:fill="FFFFFF"/>
              </w:rPr>
              <w:t>All the relevant variables (e.g., degree obtained) are available from the ACS 5-year estimates. ACS estimates are annually updated; current 5-year data sets range from 2009-2013 to 2</w:t>
            </w:r>
            <w:r w:rsidRPr="00360666">
              <w:rPr>
                <w:rFonts w:cstheme="minorHAnsi"/>
              </w:rPr>
              <w:t>013-2017</w:t>
            </w:r>
            <w:r w:rsidRPr="00360666">
              <w:rPr>
                <w:rFonts w:cstheme="minorHAnsi"/>
                <w:shd w:val="clear" w:color="auto" w:fill="FFFFFF"/>
              </w:rPr>
              <w:t xml:space="preserve">. </w:t>
            </w:r>
            <w:r w:rsidRPr="00360666">
              <w:rPr>
                <w:rFonts w:cstheme="minorHAnsi"/>
              </w:rPr>
              <w:t>The ACS Educational Attainment table may be searched by Z</w:t>
            </w:r>
            <w:r w:rsidRPr="00360666">
              <w:rPr>
                <w:rFonts w:cstheme="minorHAnsi"/>
                <w:shd w:val="clear" w:color="auto" w:fill="FFFFFF"/>
              </w:rPr>
              <w:t xml:space="preserve">one Improvement Plan (ZIP) Code area (captured by the U.S. Census Bureau as a ZIP Code Tabulation Area [ZCTA]) </w:t>
            </w:r>
            <w:r w:rsidRPr="00360666">
              <w:rPr>
                <w:rFonts w:cstheme="minorHAnsi"/>
              </w:rPr>
              <w:t>or other geographic information and educational information for that census tract located.</w:t>
            </w:r>
          </w:p>
        </w:tc>
        <w:tc>
          <w:tcPr>
            <w:tcW w:w="1620" w:type="dxa"/>
            <w:shd w:val="clear" w:color="auto" w:fill="FFFFFF"/>
            <w:tcMar>
              <w:top w:w="0" w:type="dxa"/>
              <w:left w:w="108" w:type="dxa"/>
              <w:bottom w:w="0" w:type="dxa"/>
              <w:right w:w="108" w:type="dxa"/>
            </w:tcMar>
          </w:tcPr>
          <w:p w14:paraId="602ADDD4" w14:textId="77777777" w:rsidR="001F3912" w:rsidRPr="00360666" w:rsidRDefault="001F3912" w:rsidP="008C18A6">
            <w:pPr>
              <w:jc w:val="center"/>
              <w:rPr>
                <w:rFonts w:cstheme="minorHAnsi"/>
              </w:rPr>
            </w:pPr>
          </w:p>
        </w:tc>
        <w:tc>
          <w:tcPr>
            <w:tcW w:w="2070" w:type="dxa"/>
            <w:shd w:val="clear" w:color="auto" w:fill="FFFFFF"/>
          </w:tcPr>
          <w:p w14:paraId="678D0885" w14:textId="77777777" w:rsidR="001F3912" w:rsidRPr="00360666" w:rsidRDefault="001F3912" w:rsidP="008C18A6">
            <w:pPr>
              <w:jc w:val="center"/>
              <w:rPr>
                <w:rFonts w:cstheme="minorHAnsi"/>
              </w:rPr>
            </w:pPr>
          </w:p>
        </w:tc>
      </w:tr>
      <w:tr w:rsidR="008A250C" w:rsidRPr="002F2E74" w14:paraId="4E67D419" w14:textId="22E35DEE" w:rsidTr="00723E18">
        <w:tblPrEx>
          <w:tblCellMar>
            <w:left w:w="0" w:type="dxa"/>
            <w:right w:w="0" w:type="dxa"/>
          </w:tblCellMar>
        </w:tblPrEx>
        <w:trPr>
          <w:trHeight w:val="791"/>
        </w:trPr>
        <w:tc>
          <w:tcPr>
            <w:tcW w:w="3325" w:type="dxa"/>
            <w:shd w:val="clear" w:color="auto" w:fill="auto"/>
            <w:tcMar>
              <w:top w:w="0" w:type="dxa"/>
              <w:left w:w="108" w:type="dxa"/>
              <w:bottom w:w="0" w:type="dxa"/>
              <w:right w:w="108" w:type="dxa"/>
            </w:tcMar>
          </w:tcPr>
          <w:p w14:paraId="5AC451B8" w14:textId="69067470" w:rsidR="008A250C" w:rsidRPr="00360666" w:rsidRDefault="00491F78" w:rsidP="008C18A6">
            <w:pPr>
              <w:rPr>
                <w:rFonts w:cstheme="minorHAnsi"/>
                <w:b/>
                <w:bCs/>
              </w:rPr>
            </w:pPr>
            <w:r w:rsidRPr="00360666">
              <w:rPr>
                <w:rFonts w:cstheme="minorHAnsi"/>
                <w:b/>
                <w:bCs/>
              </w:rPr>
              <w:t xml:space="preserve">6. </w:t>
            </w:r>
            <w:r w:rsidR="00193870" w:rsidRPr="00360666">
              <w:rPr>
                <w:rFonts w:cstheme="minorHAnsi"/>
                <w:b/>
                <w:bCs/>
              </w:rPr>
              <w:t xml:space="preserve">English Proficiency </w:t>
            </w:r>
          </w:p>
        </w:tc>
        <w:tc>
          <w:tcPr>
            <w:tcW w:w="7110" w:type="dxa"/>
            <w:shd w:val="clear" w:color="auto" w:fill="auto"/>
            <w:tcMar>
              <w:top w:w="0" w:type="dxa"/>
              <w:left w:w="108" w:type="dxa"/>
              <w:bottom w:w="0" w:type="dxa"/>
              <w:right w:w="108" w:type="dxa"/>
            </w:tcMar>
          </w:tcPr>
          <w:p w14:paraId="387FEE5D" w14:textId="738EB1AA" w:rsidR="008A250C" w:rsidRPr="00360666" w:rsidRDefault="00193870" w:rsidP="00723E18">
            <w:pPr>
              <w:spacing w:line="240" w:lineRule="auto"/>
              <w:contextualSpacing/>
              <w:rPr>
                <w:rFonts w:cstheme="minorHAnsi"/>
                <w:bCs/>
              </w:rPr>
            </w:pPr>
            <w:r w:rsidRPr="00360666">
              <w:rPr>
                <w:rFonts w:cstheme="minorHAnsi"/>
                <w:shd w:val="clear" w:color="auto" w:fill="FFFFFF"/>
              </w:rPr>
              <w:t xml:space="preserve">The respondent completes a question from the </w:t>
            </w:r>
            <w:r w:rsidRPr="00360666">
              <w:rPr>
                <w:rFonts w:cstheme="minorHAnsi"/>
                <w:bCs/>
              </w:rPr>
              <w:t>California Health Interview Survey (CHIS) asking for the respondent’s own opinion of how well he/she speaks English.</w:t>
            </w:r>
          </w:p>
        </w:tc>
        <w:tc>
          <w:tcPr>
            <w:tcW w:w="1620" w:type="dxa"/>
            <w:shd w:val="clear" w:color="auto" w:fill="auto"/>
            <w:tcMar>
              <w:top w:w="0" w:type="dxa"/>
              <w:left w:w="108" w:type="dxa"/>
              <w:bottom w:w="0" w:type="dxa"/>
              <w:right w:w="108" w:type="dxa"/>
            </w:tcMar>
          </w:tcPr>
          <w:p w14:paraId="1EE83C8E" w14:textId="77777777" w:rsidR="008A250C" w:rsidRPr="00360666" w:rsidRDefault="008A250C" w:rsidP="008C18A6">
            <w:pPr>
              <w:jc w:val="center"/>
              <w:rPr>
                <w:rFonts w:cstheme="minorHAnsi"/>
              </w:rPr>
            </w:pPr>
          </w:p>
        </w:tc>
        <w:tc>
          <w:tcPr>
            <w:tcW w:w="2070" w:type="dxa"/>
          </w:tcPr>
          <w:p w14:paraId="07973BC5" w14:textId="77777777" w:rsidR="008A250C" w:rsidRPr="00360666" w:rsidRDefault="008A250C" w:rsidP="008C18A6">
            <w:pPr>
              <w:jc w:val="center"/>
              <w:rPr>
                <w:rFonts w:cstheme="minorHAnsi"/>
              </w:rPr>
            </w:pPr>
          </w:p>
        </w:tc>
      </w:tr>
      <w:tr w:rsidR="008A250C" w:rsidRPr="00BE3F74" w14:paraId="4F77B35A" w14:textId="4FDCB2E8" w:rsidTr="00723E18">
        <w:tblPrEx>
          <w:tblCellMar>
            <w:left w:w="0" w:type="dxa"/>
            <w:right w:w="0" w:type="dxa"/>
          </w:tblCellMar>
        </w:tblPrEx>
        <w:trPr>
          <w:trHeight w:val="340"/>
        </w:trPr>
        <w:tc>
          <w:tcPr>
            <w:tcW w:w="3325" w:type="dxa"/>
            <w:shd w:val="clear" w:color="auto" w:fill="auto"/>
            <w:tcMar>
              <w:top w:w="0" w:type="dxa"/>
              <w:left w:w="108" w:type="dxa"/>
              <w:bottom w:w="0" w:type="dxa"/>
              <w:right w:w="108" w:type="dxa"/>
            </w:tcMar>
          </w:tcPr>
          <w:p w14:paraId="5B5B069A" w14:textId="77777777" w:rsidR="00A23FAE" w:rsidRPr="00360666" w:rsidRDefault="00491F78" w:rsidP="00A23FAE">
            <w:pPr>
              <w:rPr>
                <w:rFonts w:cstheme="minorHAnsi"/>
                <w:b/>
                <w:bCs/>
              </w:rPr>
            </w:pPr>
            <w:r w:rsidRPr="00360666">
              <w:rPr>
                <w:rFonts w:cstheme="minorHAnsi"/>
                <w:b/>
                <w:bCs/>
              </w:rPr>
              <w:lastRenderedPageBreak/>
              <w:t xml:space="preserve">7. </w:t>
            </w:r>
            <w:r w:rsidR="00A23FAE" w:rsidRPr="00360666">
              <w:rPr>
                <w:rFonts w:cstheme="minorHAnsi"/>
                <w:b/>
                <w:bCs/>
              </w:rPr>
              <w:t>Environmental Justice Screening and Mapping Tool</w:t>
            </w:r>
          </w:p>
          <w:p w14:paraId="0040ABFC" w14:textId="4E193303" w:rsidR="008A250C" w:rsidRPr="00360666" w:rsidRDefault="008A250C" w:rsidP="008C18A6">
            <w:pPr>
              <w:rPr>
                <w:rFonts w:cstheme="minorHAnsi"/>
                <w:b/>
                <w:bCs/>
              </w:rPr>
            </w:pPr>
          </w:p>
        </w:tc>
        <w:tc>
          <w:tcPr>
            <w:tcW w:w="7110" w:type="dxa"/>
            <w:shd w:val="clear" w:color="auto" w:fill="FFFFFF"/>
            <w:tcMar>
              <w:top w:w="0" w:type="dxa"/>
              <w:left w:w="108" w:type="dxa"/>
              <w:bottom w:w="0" w:type="dxa"/>
              <w:right w:w="108" w:type="dxa"/>
            </w:tcMar>
          </w:tcPr>
          <w:p w14:paraId="4C12A169" w14:textId="17536C43" w:rsidR="008A250C" w:rsidRPr="00360666" w:rsidRDefault="00193870" w:rsidP="00723E18">
            <w:pPr>
              <w:spacing w:line="240" w:lineRule="auto"/>
              <w:contextualSpacing/>
              <w:rPr>
                <w:rFonts w:cstheme="minorHAnsi"/>
              </w:rPr>
            </w:pPr>
            <w:r w:rsidRPr="00360666">
              <w:rPr>
                <w:rFonts w:cstheme="minorHAnsi"/>
              </w:rPr>
              <w:t xml:space="preserve">EJSCREEN is an environmental justice mapping and screening tool that provides a nationally consistent dataset and approach for combining environmental and demographic indicators. EJSCREEN users choose a geographic area, that can be as small as a Census block; the tool then provides demographic and environmental information for that area. All of the EJSCREEN indicators are </w:t>
            </w:r>
            <w:proofErr w:type="gramStart"/>
            <w:r w:rsidRPr="00360666">
              <w:rPr>
                <w:rFonts w:cstheme="minorHAnsi"/>
              </w:rPr>
              <w:t>publicly-available</w:t>
            </w:r>
            <w:proofErr w:type="gramEnd"/>
            <w:r w:rsidRPr="00360666">
              <w:rPr>
                <w:rFonts w:cstheme="minorHAnsi"/>
              </w:rPr>
              <w:t xml:space="preserve"> data. EJSCREEN provides a way to display this information and includes a method for combining environmental and demographic indicators into EJ indexes.</w:t>
            </w:r>
          </w:p>
        </w:tc>
        <w:tc>
          <w:tcPr>
            <w:tcW w:w="1620" w:type="dxa"/>
            <w:shd w:val="clear" w:color="auto" w:fill="FFFFFF"/>
            <w:tcMar>
              <w:top w:w="0" w:type="dxa"/>
              <w:left w:w="108" w:type="dxa"/>
              <w:bottom w:w="0" w:type="dxa"/>
              <w:right w:w="108" w:type="dxa"/>
            </w:tcMar>
          </w:tcPr>
          <w:p w14:paraId="01C72233" w14:textId="77777777" w:rsidR="008A250C" w:rsidRPr="00360666" w:rsidRDefault="008A250C" w:rsidP="008C18A6">
            <w:pPr>
              <w:jc w:val="center"/>
              <w:rPr>
                <w:rFonts w:cstheme="minorHAnsi"/>
              </w:rPr>
            </w:pPr>
          </w:p>
        </w:tc>
        <w:tc>
          <w:tcPr>
            <w:tcW w:w="2070" w:type="dxa"/>
            <w:shd w:val="clear" w:color="auto" w:fill="FFFFFF"/>
          </w:tcPr>
          <w:p w14:paraId="60C84CEA" w14:textId="77777777" w:rsidR="008A250C" w:rsidRPr="00360666" w:rsidRDefault="008A250C" w:rsidP="008C18A6">
            <w:pPr>
              <w:jc w:val="center"/>
              <w:rPr>
                <w:rFonts w:cstheme="minorHAnsi"/>
              </w:rPr>
            </w:pPr>
          </w:p>
        </w:tc>
      </w:tr>
      <w:tr w:rsidR="008A250C" w:rsidRPr="002F2E74" w14:paraId="380B2997" w14:textId="7F3B96A7" w:rsidTr="00723E18">
        <w:tblPrEx>
          <w:tblCellMar>
            <w:left w:w="0" w:type="dxa"/>
            <w:right w:w="0" w:type="dxa"/>
          </w:tblCellMar>
        </w:tblPrEx>
        <w:trPr>
          <w:trHeight w:val="1025"/>
        </w:trPr>
        <w:tc>
          <w:tcPr>
            <w:tcW w:w="3325" w:type="dxa"/>
            <w:shd w:val="clear" w:color="auto" w:fill="auto"/>
            <w:tcMar>
              <w:top w:w="0" w:type="dxa"/>
              <w:left w:w="108" w:type="dxa"/>
              <w:bottom w:w="0" w:type="dxa"/>
              <w:right w:w="108" w:type="dxa"/>
            </w:tcMar>
          </w:tcPr>
          <w:p w14:paraId="3E285FB6" w14:textId="766D05BA" w:rsidR="008A250C" w:rsidRPr="00360666" w:rsidRDefault="00491F78" w:rsidP="004D1B40">
            <w:pPr>
              <w:rPr>
                <w:rFonts w:cstheme="minorHAnsi"/>
                <w:b/>
                <w:bCs/>
              </w:rPr>
            </w:pPr>
            <w:r w:rsidRPr="00360666">
              <w:rPr>
                <w:rFonts w:cstheme="minorHAnsi"/>
                <w:b/>
                <w:bCs/>
              </w:rPr>
              <w:t xml:space="preserve">8. </w:t>
            </w:r>
            <w:r w:rsidR="002F2ACF" w:rsidRPr="00360666">
              <w:rPr>
                <w:rFonts w:cstheme="minorHAnsi"/>
                <w:b/>
                <w:bCs/>
              </w:rPr>
              <w:t xml:space="preserve">Food Insecurity </w:t>
            </w:r>
          </w:p>
        </w:tc>
        <w:tc>
          <w:tcPr>
            <w:tcW w:w="7110" w:type="dxa"/>
            <w:shd w:val="clear" w:color="auto" w:fill="auto"/>
            <w:tcMar>
              <w:top w:w="0" w:type="dxa"/>
              <w:left w:w="108" w:type="dxa"/>
              <w:bottom w:w="0" w:type="dxa"/>
              <w:right w:w="108" w:type="dxa"/>
            </w:tcMar>
          </w:tcPr>
          <w:p w14:paraId="2DEC95B2" w14:textId="7F4A816B" w:rsidR="008A250C" w:rsidRPr="00360666" w:rsidRDefault="002F2ACF" w:rsidP="00723E18">
            <w:pPr>
              <w:spacing w:line="240" w:lineRule="auto"/>
              <w:contextualSpacing/>
              <w:rPr>
                <w:rFonts w:cstheme="minorHAnsi"/>
                <w:bCs/>
              </w:rPr>
            </w:pPr>
            <w:r w:rsidRPr="00360666">
              <w:rPr>
                <w:rFonts w:cstheme="minorHAnsi"/>
                <w:bCs/>
              </w:rPr>
              <w:t>The Six-Item Standard Measure from USDA Economic Research Service is a short interviewer-administered questionnaire, modeled using information from the Community Population Survey, Bureau of Labor Statistics, and American Community Survey.</w:t>
            </w:r>
          </w:p>
        </w:tc>
        <w:tc>
          <w:tcPr>
            <w:tcW w:w="1620" w:type="dxa"/>
            <w:shd w:val="clear" w:color="auto" w:fill="auto"/>
            <w:tcMar>
              <w:top w:w="0" w:type="dxa"/>
              <w:left w:w="108" w:type="dxa"/>
              <w:bottom w:w="0" w:type="dxa"/>
              <w:right w:w="108" w:type="dxa"/>
            </w:tcMar>
          </w:tcPr>
          <w:p w14:paraId="68379990" w14:textId="77777777" w:rsidR="008A250C" w:rsidRPr="00360666" w:rsidRDefault="008A250C" w:rsidP="008C18A6">
            <w:pPr>
              <w:jc w:val="center"/>
              <w:rPr>
                <w:rFonts w:cstheme="minorHAnsi"/>
              </w:rPr>
            </w:pPr>
          </w:p>
        </w:tc>
        <w:tc>
          <w:tcPr>
            <w:tcW w:w="2070" w:type="dxa"/>
          </w:tcPr>
          <w:p w14:paraId="2C0F8938" w14:textId="77777777" w:rsidR="008A250C" w:rsidRPr="00360666" w:rsidRDefault="008A250C" w:rsidP="008C18A6">
            <w:pPr>
              <w:jc w:val="center"/>
              <w:rPr>
                <w:rFonts w:cstheme="minorHAnsi"/>
              </w:rPr>
            </w:pPr>
          </w:p>
        </w:tc>
      </w:tr>
      <w:tr w:rsidR="008A250C" w:rsidRPr="002F2E74" w14:paraId="384626D5" w14:textId="6B0FE941" w:rsidTr="00723E18">
        <w:tblPrEx>
          <w:tblCellMar>
            <w:left w:w="0" w:type="dxa"/>
            <w:right w:w="0" w:type="dxa"/>
          </w:tblCellMar>
        </w:tblPrEx>
        <w:trPr>
          <w:trHeight w:val="997"/>
        </w:trPr>
        <w:tc>
          <w:tcPr>
            <w:tcW w:w="3325" w:type="dxa"/>
            <w:shd w:val="clear" w:color="auto" w:fill="auto"/>
            <w:tcMar>
              <w:top w:w="0" w:type="dxa"/>
              <w:left w:w="108" w:type="dxa"/>
              <w:bottom w:w="0" w:type="dxa"/>
              <w:right w:w="108" w:type="dxa"/>
            </w:tcMar>
          </w:tcPr>
          <w:p w14:paraId="1F475E7F" w14:textId="0D1DBD1E" w:rsidR="008A250C" w:rsidRPr="00360666" w:rsidRDefault="00491F78" w:rsidP="00DF5C55">
            <w:pPr>
              <w:rPr>
                <w:rFonts w:cstheme="minorHAnsi"/>
                <w:b/>
                <w:bCs/>
              </w:rPr>
            </w:pPr>
            <w:r w:rsidRPr="00360666">
              <w:rPr>
                <w:rFonts w:cstheme="minorHAnsi"/>
                <w:b/>
                <w:bCs/>
              </w:rPr>
              <w:t xml:space="preserve">9. </w:t>
            </w:r>
            <w:r w:rsidR="002F2ACF" w:rsidRPr="00360666">
              <w:rPr>
                <w:rFonts w:cstheme="minorHAnsi"/>
                <w:b/>
                <w:bCs/>
              </w:rPr>
              <w:t xml:space="preserve">Food Swamp </w:t>
            </w:r>
          </w:p>
        </w:tc>
        <w:tc>
          <w:tcPr>
            <w:tcW w:w="7110" w:type="dxa"/>
            <w:shd w:val="clear" w:color="auto" w:fill="FFFFFF"/>
            <w:tcMar>
              <w:top w:w="0" w:type="dxa"/>
              <w:left w:w="108" w:type="dxa"/>
              <w:bottom w:w="0" w:type="dxa"/>
              <w:right w:w="108" w:type="dxa"/>
            </w:tcMar>
          </w:tcPr>
          <w:p w14:paraId="10010369" w14:textId="6853F32F" w:rsidR="008A250C" w:rsidRPr="00360666" w:rsidRDefault="002F2ACF" w:rsidP="00723E18">
            <w:pPr>
              <w:spacing w:line="240" w:lineRule="auto"/>
              <w:contextualSpacing/>
              <w:rPr>
                <w:rFonts w:cstheme="minorHAnsi"/>
              </w:rPr>
            </w:pPr>
            <w:r w:rsidRPr="00360666">
              <w:rPr>
                <w:rFonts w:cstheme="minorHAnsi"/>
              </w:rPr>
              <w:t>The presence of a food swamp is calculated using the traditional Retail Food Environment Index per county, which includes the number of fast food restaurants and convenience stores divided by the number of grocery stores and supermarkets.  The number of grocery stores, fast food restaurants, and convenience stores are determined at a county-level using data from the Food Environment Atlas.</w:t>
            </w:r>
          </w:p>
        </w:tc>
        <w:tc>
          <w:tcPr>
            <w:tcW w:w="1620" w:type="dxa"/>
            <w:shd w:val="clear" w:color="auto" w:fill="FFFFFF"/>
            <w:tcMar>
              <w:top w:w="0" w:type="dxa"/>
              <w:left w:w="108" w:type="dxa"/>
              <w:bottom w:w="0" w:type="dxa"/>
              <w:right w:w="108" w:type="dxa"/>
            </w:tcMar>
          </w:tcPr>
          <w:p w14:paraId="11EC7B62" w14:textId="77777777" w:rsidR="008A250C" w:rsidRPr="00360666" w:rsidRDefault="008A250C" w:rsidP="008C18A6">
            <w:pPr>
              <w:jc w:val="center"/>
              <w:rPr>
                <w:rFonts w:cstheme="minorHAnsi"/>
              </w:rPr>
            </w:pPr>
          </w:p>
        </w:tc>
        <w:tc>
          <w:tcPr>
            <w:tcW w:w="2070" w:type="dxa"/>
            <w:shd w:val="clear" w:color="auto" w:fill="FFFFFF"/>
          </w:tcPr>
          <w:p w14:paraId="5C74607E" w14:textId="77777777" w:rsidR="008A250C" w:rsidRPr="00360666" w:rsidRDefault="008A250C" w:rsidP="008C18A6">
            <w:pPr>
              <w:jc w:val="center"/>
              <w:rPr>
                <w:rFonts w:cstheme="minorHAnsi"/>
              </w:rPr>
            </w:pPr>
          </w:p>
        </w:tc>
      </w:tr>
      <w:tr w:rsidR="008A250C" w:rsidRPr="002F2E74" w14:paraId="1B5DE60E" w14:textId="77A6A19B" w:rsidTr="00723E18">
        <w:tblPrEx>
          <w:tblCellMar>
            <w:left w:w="0" w:type="dxa"/>
            <w:right w:w="0" w:type="dxa"/>
          </w:tblCellMar>
        </w:tblPrEx>
        <w:trPr>
          <w:trHeight w:val="790"/>
        </w:trPr>
        <w:tc>
          <w:tcPr>
            <w:tcW w:w="3325" w:type="dxa"/>
            <w:shd w:val="clear" w:color="auto" w:fill="auto"/>
            <w:tcMar>
              <w:top w:w="0" w:type="dxa"/>
              <w:left w:w="108" w:type="dxa"/>
              <w:bottom w:w="0" w:type="dxa"/>
              <w:right w:w="108" w:type="dxa"/>
            </w:tcMar>
          </w:tcPr>
          <w:p w14:paraId="764C971C" w14:textId="0A1CAF0E" w:rsidR="008A250C" w:rsidRPr="00360666" w:rsidRDefault="00491F78" w:rsidP="00DF5C55">
            <w:pPr>
              <w:rPr>
                <w:rFonts w:cstheme="minorHAnsi"/>
                <w:b/>
                <w:bCs/>
              </w:rPr>
            </w:pPr>
            <w:r w:rsidRPr="00360666">
              <w:rPr>
                <w:rFonts w:cstheme="minorHAnsi"/>
                <w:b/>
                <w:bCs/>
              </w:rPr>
              <w:t xml:space="preserve">10. </w:t>
            </w:r>
            <w:r w:rsidR="000631A3" w:rsidRPr="00360666">
              <w:rPr>
                <w:rFonts w:cstheme="minorHAnsi"/>
                <w:b/>
                <w:bCs/>
              </w:rPr>
              <w:t xml:space="preserve">Health Literacy </w:t>
            </w:r>
          </w:p>
        </w:tc>
        <w:tc>
          <w:tcPr>
            <w:tcW w:w="7110" w:type="dxa"/>
            <w:shd w:val="clear" w:color="auto" w:fill="FFFFFF"/>
            <w:tcMar>
              <w:top w:w="0" w:type="dxa"/>
              <w:left w:w="108" w:type="dxa"/>
              <w:bottom w:w="0" w:type="dxa"/>
              <w:right w:w="108" w:type="dxa"/>
            </w:tcMar>
          </w:tcPr>
          <w:p w14:paraId="734E164A" w14:textId="6533B5DE" w:rsidR="008A250C" w:rsidRPr="00360666" w:rsidRDefault="000631A3" w:rsidP="00723E18">
            <w:pPr>
              <w:spacing w:line="240" w:lineRule="auto"/>
              <w:contextualSpacing/>
              <w:rPr>
                <w:rFonts w:cstheme="minorHAnsi"/>
              </w:rPr>
            </w:pPr>
            <w:r w:rsidRPr="00360666">
              <w:rPr>
                <w:rFonts w:cstheme="minorHAnsi"/>
              </w:rPr>
              <w:t>The Short Assessment of Health Literacy——English (SAHL-E) includes 18 interviewer-administered items designed to assess an English-speaking adult’s ability to read and understand common medical terms.  The test could help health professionals estimate the adult’s health literacy level</w:t>
            </w:r>
            <w:r w:rsidR="00F76B9F" w:rsidRPr="00360666">
              <w:rPr>
                <w:rFonts w:cstheme="minorHAnsi"/>
              </w:rPr>
              <w:t xml:space="preserve">. </w:t>
            </w:r>
            <w:r w:rsidRPr="00360666">
              <w:rPr>
                <w:rFonts w:cstheme="minorHAnsi"/>
              </w:rPr>
              <w:t>The interviewer shows the respondent a series of laminated 4”x 5” flash cards, with each card containing a medical term printed in boldface on the top and the two association words—i.e., the key and the distracter—at the bottom. Responses are summed to achieve the total, SAHL-E score. A score less than or equal to 14 represents the cutoff point for low health literacy, or low health-related reading ability. An additional health literacy screening question, useful for surveys with space constraints, asks how confident the respondent is in completing medical forms.</w:t>
            </w:r>
          </w:p>
        </w:tc>
        <w:tc>
          <w:tcPr>
            <w:tcW w:w="1620" w:type="dxa"/>
            <w:shd w:val="clear" w:color="auto" w:fill="FFFFFF"/>
            <w:tcMar>
              <w:top w:w="0" w:type="dxa"/>
              <w:left w:w="108" w:type="dxa"/>
              <w:bottom w:w="0" w:type="dxa"/>
              <w:right w:w="108" w:type="dxa"/>
            </w:tcMar>
          </w:tcPr>
          <w:p w14:paraId="15B9FE4F" w14:textId="77777777" w:rsidR="008A250C" w:rsidRPr="00360666" w:rsidRDefault="008A250C" w:rsidP="008C18A6">
            <w:pPr>
              <w:jc w:val="center"/>
              <w:rPr>
                <w:rFonts w:cstheme="minorHAnsi"/>
              </w:rPr>
            </w:pPr>
          </w:p>
        </w:tc>
        <w:tc>
          <w:tcPr>
            <w:tcW w:w="2070" w:type="dxa"/>
            <w:shd w:val="clear" w:color="auto" w:fill="FFFFFF"/>
          </w:tcPr>
          <w:p w14:paraId="4E929D5C" w14:textId="77777777" w:rsidR="008A250C" w:rsidRPr="00360666" w:rsidRDefault="008A250C" w:rsidP="008C18A6">
            <w:pPr>
              <w:jc w:val="center"/>
              <w:rPr>
                <w:rFonts w:cstheme="minorHAnsi"/>
              </w:rPr>
            </w:pPr>
          </w:p>
        </w:tc>
      </w:tr>
      <w:tr w:rsidR="008A250C" w:rsidRPr="002F2E74" w14:paraId="1A45E60E" w14:textId="69ABBB8B" w:rsidTr="00723E18">
        <w:tblPrEx>
          <w:tblCellMar>
            <w:left w:w="0" w:type="dxa"/>
            <w:right w:w="0" w:type="dxa"/>
          </w:tblCellMar>
        </w:tblPrEx>
        <w:tc>
          <w:tcPr>
            <w:tcW w:w="3325" w:type="dxa"/>
            <w:shd w:val="clear" w:color="auto" w:fill="auto"/>
            <w:tcMar>
              <w:top w:w="0" w:type="dxa"/>
              <w:left w:w="108" w:type="dxa"/>
              <w:bottom w:w="0" w:type="dxa"/>
              <w:right w:w="108" w:type="dxa"/>
            </w:tcMar>
          </w:tcPr>
          <w:p w14:paraId="7C4F7A41" w14:textId="1FB5E544" w:rsidR="008A250C" w:rsidRPr="00360666" w:rsidRDefault="00491F78" w:rsidP="00DE4D5C">
            <w:pPr>
              <w:rPr>
                <w:rFonts w:cstheme="minorHAnsi"/>
                <w:b/>
                <w:bCs/>
              </w:rPr>
            </w:pPr>
            <w:r w:rsidRPr="00360666">
              <w:rPr>
                <w:rFonts w:cstheme="minorHAnsi"/>
                <w:b/>
                <w:bCs/>
              </w:rPr>
              <w:t xml:space="preserve">11. </w:t>
            </w:r>
            <w:r w:rsidR="000631A3" w:rsidRPr="00360666">
              <w:rPr>
                <w:rFonts w:cstheme="minorHAnsi"/>
                <w:b/>
                <w:bCs/>
              </w:rPr>
              <w:t>Health Numeracy</w:t>
            </w:r>
          </w:p>
        </w:tc>
        <w:tc>
          <w:tcPr>
            <w:tcW w:w="7110" w:type="dxa"/>
            <w:shd w:val="clear" w:color="auto" w:fill="FFFFFF"/>
            <w:tcMar>
              <w:top w:w="0" w:type="dxa"/>
              <w:left w:w="108" w:type="dxa"/>
              <w:bottom w:w="0" w:type="dxa"/>
              <w:right w:w="108" w:type="dxa"/>
            </w:tcMar>
          </w:tcPr>
          <w:p w14:paraId="10120148" w14:textId="01654A34" w:rsidR="008A250C" w:rsidRPr="00360666" w:rsidRDefault="000631A3" w:rsidP="00723E18">
            <w:pPr>
              <w:tabs>
                <w:tab w:val="left" w:pos="-39"/>
              </w:tabs>
              <w:spacing w:line="240" w:lineRule="auto"/>
              <w:contextualSpacing/>
              <w:rPr>
                <w:rFonts w:cstheme="minorHAnsi"/>
              </w:rPr>
            </w:pPr>
            <w:r w:rsidRPr="00360666">
              <w:rPr>
                <w:rFonts w:eastAsia="Arial" w:cstheme="minorHAnsi"/>
                <w:color w:val="000000"/>
                <w:lang w:eastAsia="zh-CN"/>
              </w:rPr>
              <w:t>The Numeracy Understanding in Medicine Instrument (</w:t>
            </w:r>
            <w:proofErr w:type="spellStart"/>
            <w:r w:rsidRPr="00360666">
              <w:rPr>
                <w:rFonts w:eastAsia="Arial" w:cstheme="minorHAnsi"/>
                <w:color w:val="000000"/>
                <w:lang w:eastAsia="zh-CN"/>
              </w:rPr>
              <w:t>NUMi</w:t>
            </w:r>
            <w:proofErr w:type="spellEnd"/>
            <w:r w:rsidRPr="00360666">
              <w:rPr>
                <w:rFonts w:eastAsia="Arial" w:cstheme="minorHAnsi"/>
                <w:color w:val="000000"/>
                <w:lang w:eastAsia="zh-CN"/>
              </w:rPr>
              <w:t xml:space="preserve">) </w:t>
            </w:r>
            <w:r w:rsidRPr="00360666">
              <w:rPr>
                <w:rFonts w:cstheme="minorHAnsi"/>
              </w:rPr>
              <w:t xml:space="preserve">includes 20 items in 4 areas with 5 questions each, covering the topics of numbers, probability, statistics, and graphs. It measures basic and applied skills, such as problem solving and use of a food label. </w:t>
            </w:r>
            <w:r w:rsidRPr="00360666">
              <w:rPr>
                <w:rFonts w:cstheme="minorHAnsi"/>
                <w:shd w:val="clear" w:color="auto" w:fill="FFFFFF"/>
              </w:rPr>
              <w:t xml:space="preserve">The protocol is administered via </w:t>
            </w:r>
            <w:r w:rsidRPr="00360666">
              <w:rPr>
                <w:rFonts w:cstheme="minorHAnsi"/>
                <w:shd w:val="clear" w:color="auto" w:fill="FFFFFF"/>
              </w:rPr>
              <w:lastRenderedPageBreak/>
              <w:t>self-report questionnaire. The protocol is scored by determining total score based on categorizing scores into four levels: low, low average, high average, and high levels of numeracy as determined by score distribution within the study population.</w:t>
            </w:r>
          </w:p>
        </w:tc>
        <w:tc>
          <w:tcPr>
            <w:tcW w:w="1620" w:type="dxa"/>
            <w:shd w:val="clear" w:color="auto" w:fill="FFFFFF"/>
            <w:tcMar>
              <w:top w:w="0" w:type="dxa"/>
              <w:left w:w="108" w:type="dxa"/>
              <w:bottom w:w="0" w:type="dxa"/>
              <w:right w:w="108" w:type="dxa"/>
            </w:tcMar>
          </w:tcPr>
          <w:p w14:paraId="1DC7EFC4" w14:textId="77777777" w:rsidR="008A250C" w:rsidRPr="00360666" w:rsidRDefault="008A250C" w:rsidP="008C18A6">
            <w:pPr>
              <w:jc w:val="center"/>
              <w:rPr>
                <w:rFonts w:cstheme="minorHAnsi"/>
              </w:rPr>
            </w:pPr>
          </w:p>
        </w:tc>
        <w:tc>
          <w:tcPr>
            <w:tcW w:w="2070" w:type="dxa"/>
            <w:shd w:val="clear" w:color="auto" w:fill="FFFFFF"/>
          </w:tcPr>
          <w:p w14:paraId="7C46BDA0" w14:textId="77777777" w:rsidR="008A250C" w:rsidRPr="00360666" w:rsidRDefault="008A250C" w:rsidP="008C18A6">
            <w:pPr>
              <w:jc w:val="center"/>
              <w:rPr>
                <w:rFonts w:cstheme="minorHAnsi"/>
              </w:rPr>
            </w:pPr>
          </w:p>
        </w:tc>
      </w:tr>
      <w:tr w:rsidR="008A250C" w:rsidRPr="002F2E74" w14:paraId="30B208AC" w14:textId="40E5A62D" w:rsidTr="00723E18">
        <w:tblPrEx>
          <w:tblCellMar>
            <w:left w:w="0" w:type="dxa"/>
            <w:right w:w="0" w:type="dxa"/>
          </w:tblCellMar>
        </w:tblPrEx>
        <w:tc>
          <w:tcPr>
            <w:tcW w:w="3325" w:type="dxa"/>
            <w:shd w:val="clear" w:color="auto" w:fill="auto"/>
            <w:tcMar>
              <w:top w:w="0" w:type="dxa"/>
              <w:left w:w="108" w:type="dxa"/>
              <w:bottom w:w="0" w:type="dxa"/>
              <w:right w:w="108" w:type="dxa"/>
            </w:tcMar>
          </w:tcPr>
          <w:p w14:paraId="0697753D" w14:textId="25DC610B" w:rsidR="008A250C" w:rsidRPr="00360666" w:rsidRDefault="00491F78" w:rsidP="00DE4D5C">
            <w:pPr>
              <w:rPr>
                <w:rFonts w:cstheme="minorHAnsi"/>
                <w:b/>
                <w:bCs/>
              </w:rPr>
            </w:pPr>
            <w:r w:rsidRPr="00360666">
              <w:rPr>
                <w:rFonts w:cstheme="minorHAnsi"/>
                <w:b/>
                <w:bCs/>
              </w:rPr>
              <w:t xml:space="preserve">12. </w:t>
            </w:r>
            <w:r w:rsidR="000631A3" w:rsidRPr="00360666">
              <w:rPr>
                <w:rFonts w:cstheme="minorHAnsi"/>
                <w:b/>
                <w:bCs/>
              </w:rPr>
              <w:t xml:space="preserve">Job Insecurity </w:t>
            </w:r>
          </w:p>
        </w:tc>
        <w:tc>
          <w:tcPr>
            <w:tcW w:w="7110" w:type="dxa"/>
            <w:shd w:val="clear" w:color="auto" w:fill="FFFFFF"/>
            <w:tcMar>
              <w:top w:w="0" w:type="dxa"/>
              <w:left w:w="108" w:type="dxa"/>
              <w:bottom w:w="0" w:type="dxa"/>
              <w:right w:w="108" w:type="dxa"/>
            </w:tcMar>
          </w:tcPr>
          <w:p w14:paraId="7B7969F1" w14:textId="19E55B67" w:rsidR="008A250C" w:rsidRPr="00360666" w:rsidRDefault="000631A3" w:rsidP="00723E18">
            <w:pPr>
              <w:spacing w:line="240" w:lineRule="auto"/>
              <w:contextualSpacing/>
              <w:rPr>
                <w:rFonts w:cstheme="minorHAnsi"/>
              </w:rPr>
            </w:pPr>
            <w:r w:rsidRPr="00360666">
              <w:rPr>
                <w:rFonts w:cstheme="minorHAnsi"/>
              </w:rPr>
              <w:t>This protocol is only for use with people who are currently employed (full-time, part-time or currently with a job but not at work because of temporary illness, vacation, or strike). The interviewer asks about the respondent’s perception of how likely it is that he/she will lose the job in the next twelve months and his/her ability to find another job.</w:t>
            </w:r>
          </w:p>
        </w:tc>
        <w:tc>
          <w:tcPr>
            <w:tcW w:w="1620" w:type="dxa"/>
            <w:shd w:val="clear" w:color="auto" w:fill="FFFFFF"/>
            <w:tcMar>
              <w:top w:w="0" w:type="dxa"/>
              <w:left w:w="108" w:type="dxa"/>
              <w:bottom w:w="0" w:type="dxa"/>
              <w:right w:w="108" w:type="dxa"/>
            </w:tcMar>
          </w:tcPr>
          <w:p w14:paraId="7BE23902" w14:textId="77777777" w:rsidR="008A250C" w:rsidRPr="00360666" w:rsidRDefault="008A250C" w:rsidP="008C18A6">
            <w:pPr>
              <w:jc w:val="center"/>
              <w:rPr>
                <w:rFonts w:cstheme="minorHAnsi"/>
              </w:rPr>
            </w:pPr>
          </w:p>
        </w:tc>
        <w:tc>
          <w:tcPr>
            <w:tcW w:w="2070" w:type="dxa"/>
            <w:shd w:val="clear" w:color="auto" w:fill="FFFFFF"/>
          </w:tcPr>
          <w:p w14:paraId="4524DA59" w14:textId="77777777" w:rsidR="008A250C" w:rsidRPr="00360666" w:rsidRDefault="008A250C" w:rsidP="008C18A6">
            <w:pPr>
              <w:jc w:val="center"/>
              <w:rPr>
                <w:rFonts w:cstheme="minorHAnsi"/>
              </w:rPr>
            </w:pPr>
          </w:p>
        </w:tc>
      </w:tr>
      <w:tr w:rsidR="008A250C" w:rsidRPr="002F2E74" w14:paraId="175D4EC8" w14:textId="31D9658B" w:rsidTr="00723E18">
        <w:tblPrEx>
          <w:tblCellMar>
            <w:left w:w="0" w:type="dxa"/>
            <w:right w:w="0" w:type="dxa"/>
          </w:tblCellMar>
        </w:tblPrEx>
        <w:tc>
          <w:tcPr>
            <w:tcW w:w="3325" w:type="dxa"/>
            <w:shd w:val="clear" w:color="auto" w:fill="auto"/>
            <w:tcMar>
              <w:top w:w="0" w:type="dxa"/>
              <w:left w:w="108" w:type="dxa"/>
              <w:bottom w:w="0" w:type="dxa"/>
              <w:right w:w="108" w:type="dxa"/>
            </w:tcMar>
          </w:tcPr>
          <w:p w14:paraId="1C81B5A0" w14:textId="69C9EAE6" w:rsidR="008A250C" w:rsidRPr="00360666" w:rsidRDefault="00491F78" w:rsidP="00375807">
            <w:pPr>
              <w:rPr>
                <w:rFonts w:cstheme="minorHAnsi"/>
                <w:b/>
                <w:bCs/>
              </w:rPr>
            </w:pPr>
            <w:r w:rsidRPr="00360666">
              <w:rPr>
                <w:rFonts w:cstheme="minorHAnsi"/>
                <w:b/>
                <w:bCs/>
              </w:rPr>
              <w:t xml:space="preserve">13. </w:t>
            </w:r>
            <w:r w:rsidR="000631A3" w:rsidRPr="00360666">
              <w:rPr>
                <w:rFonts w:cstheme="minorHAnsi"/>
                <w:b/>
                <w:bCs/>
              </w:rPr>
              <w:t>Occupational Prestige</w:t>
            </w:r>
          </w:p>
        </w:tc>
        <w:tc>
          <w:tcPr>
            <w:tcW w:w="7110" w:type="dxa"/>
            <w:shd w:val="clear" w:color="auto" w:fill="FFFFFF"/>
            <w:tcMar>
              <w:top w:w="0" w:type="dxa"/>
              <w:left w:w="108" w:type="dxa"/>
              <w:bottom w:w="0" w:type="dxa"/>
              <w:right w:w="108" w:type="dxa"/>
            </w:tcMar>
          </w:tcPr>
          <w:p w14:paraId="37217785" w14:textId="375C6D7F" w:rsidR="008A250C" w:rsidRPr="00360666" w:rsidRDefault="000631A3" w:rsidP="00723E18">
            <w:pPr>
              <w:spacing w:line="240" w:lineRule="auto"/>
              <w:contextualSpacing/>
              <w:rPr>
                <w:rFonts w:cstheme="minorHAnsi"/>
              </w:rPr>
            </w:pPr>
            <w:r w:rsidRPr="00360666">
              <w:rPr>
                <w:rFonts w:cstheme="minorHAnsi"/>
              </w:rPr>
              <w:t>This protocol includes 2 self-administered questions from the American Community Survey (ACS) that capture the respondent’s type of work most important activities. The respective occupational prestige scores can then be derived from the General Social Survey Codebook Appendix F: Occupational Classification Distributions.  Prestige scores are based on a consensus perceived worthiness and range from 0- 100, with 0 being the lowest and 100 being the highest.</w:t>
            </w:r>
          </w:p>
        </w:tc>
        <w:tc>
          <w:tcPr>
            <w:tcW w:w="1620" w:type="dxa"/>
            <w:shd w:val="clear" w:color="auto" w:fill="FFFFFF"/>
            <w:tcMar>
              <w:top w:w="0" w:type="dxa"/>
              <w:left w:w="108" w:type="dxa"/>
              <w:bottom w:w="0" w:type="dxa"/>
              <w:right w:w="108" w:type="dxa"/>
            </w:tcMar>
          </w:tcPr>
          <w:p w14:paraId="19F2EC3B" w14:textId="77777777" w:rsidR="008A250C" w:rsidRPr="00360666" w:rsidRDefault="008A250C" w:rsidP="00375807">
            <w:pPr>
              <w:jc w:val="center"/>
              <w:rPr>
                <w:rFonts w:cstheme="minorHAnsi"/>
              </w:rPr>
            </w:pPr>
          </w:p>
        </w:tc>
        <w:tc>
          <w:tcPr>
            <w:tcW w:w="2070" w:type="dxa"/>
            <w:shd w:val="clear" w:color="auto" w:fill="FFFFFF"/>
          </w:tcPr>
          <w:p w14:paraId="7C195DD5" w14:textId="77777777" w:rsidR="008A250C" w:rsidRPr="00360666" w:rsidRDefault="008A250C" w:rsidP="00375807">
            <w:pPr>
              <w:jc w:val="center"/>
              <w:rPr>
                <w:rFonts w:cstheme="minorHAnsi"/>
              </w:rPr>
            </w:pPr>
          </w:p>
        </w:tc>
      </w:tr>
      <w:tr w:rsidR="008A250C" w:rsidRPr="002F2E74" w14:paraId="4070BB8B" w14:textId="7431BA7F" w:rsidTr="00723E18">
        <w:tblPrEx>
          <w:tblCellMar>
            <w:left w:w="0" w:type="dxa"/>
            <w:right w:w="0" w:type="dxa"/>
          </w:tblCellMar>
        </w:tblPrEx>
        <w:tc>
          <w:tcPr>
            <w:tcW w:w="3325" w:type="dxa"/>
            <w:shd w:val="clear" w:color="auto" w:fill="auto"/>
            <w:tcMar>
              <w:top w:w="0" w:type="dxa"/>
              <w:left w:w="108" w:type="dxa"/>
              <w:bottom w:w="0" w:type="dxa"/>
              <w:right w:w="108" w:type="dxa"/>
            </w:tcMar>
          </w:tcPr>
          <w:p w14:paraId="68A5FBAB" w14:textId="6FE16086" w:rsidR="008A250C" w:rsidRPr="00360666" w:rsidRDefault="00491F78" w:rsidP="00375807">
            <w:pPr>
              <w:contextualSpacing/>
              <w:rPr>
                <w:rFonts w:cstheme="minorHAnsi"/>
                <w:b/>
                <w:bCs/>
              </w:rPr>
            </w:pPr>
            <w:r w:rsidRPr="00360666">
              <w:rPr>
                <w:rFonts w:cstheme="minorHAnsi"/>
                <w:b/>
                <w:bCs/>
              </w:rPr>
              <w:t xml:space="preserve">14. </w:t>
            </w:r>
            <w:r w:rsidR="000631A3" w:rsidRPr="00360666">
              <w:rPr>
                <w:rFonts w:cstheme="minorHAnsi"/>
                <w:b/>
                <w:bCs/>
              </w:rPr>
              <w:t>Percent Unionized for Non-Agricultural Labor Force</w:t>
            </w:r>
          </w:p>
        </w:tc>
        <w:tc>
          <w:tcPr>
            <w:tcW w:w="7110" w:type="dxa"/>
            <w:shd w:val="clear" w:color="auto" w:fill="FFFFFF"/>
            <w:tcMar>
              <w:top w:w="0" w:type="dxa"/>
              <w:left w:w="108" w:type="dxa"/>
              <w:bottom w:w="0" w:type="dxa"/>
              <w:right w:w="108" w:type="dxa"/>
            </w:tcMar>
          </w:tcPr>
          <w:p w14:paraId="42B4B5A0" w14:textId="377489ED" w:rsidR="008A250C" w:rsidRPr="00360666" w:rsidRDefault="000631A3" w:rsidP="00723E18">
            <w:pPr>
              <w:spacing w:line="240" w:lineRule="auto"/>
              <w:contextualSpacing/>
              <w:rPr>
                <w:rFonts w:cstheme="minorHAnsi"/>
              </w:rPr>
            </w:pPr>
            <w:r w:rsidRPr="00360666">
              <w:rPr>
                <w:rFonts w:cstheme="minorHAnsi"/>
              </w:rPr>
              <w:t>The protocol describes how to extract data on labor union membership, coverage, and density estimates from variables collected through the Current Population Survey.</w:t>
            </w:r>
          </w:p>
        </w:tc>
        <w:tc>
          <w:tcPr>
            <w:tcW w:w="1620" w:type="dxa"/>
            <w:shd w:val="clear" w:color="auto" w:fill="FFFFFF"/>
            <w:tcMar>
              <w:top w:w="0" w:type="dxa"/>
              <w:left w:w="108" w:type="dxa"/>
              <w:bottom w:w="0" w:type="dxa"/>
              <w:right w:w="108" w:type="dxa"/>
            </w:tcMar>
          </w:tcPr>
          <w:p w14:paraId="29A8812F" w14:textId="77777777" w:rsidR="008A250C" w:rsidRPr="00360666" w:rsidRDefault="008A250C" w:rsidP="00375807">
            <w:pPr>
              <w:jc w:val="center"/>
              <w:rPr>
                <w:rFonts w:cstheme="minorHAnsi"/>
              </w:rPr>
            </w:pPr>
          </w:p>
        </w:tc>
        <w:tc>
          <w:tcPr>
            <w:tcW w:w="2070" w:type="dxa"/>
            <w:shd w:val="clear" w:color="auto" w:fill="FFFFFF"/>
          </w:tcPr>
          <w:p w14:paraId="32CC9FBC" w14:textId="77777777" w:rsidR="008A250C" w:rsidRPr="00360666" w:rsidRDefault="008A250C" w:rsidP="00375807">
            <w:pPr>
              <w:jc w:val="center"/>
              <w:rPr>
                <w:rFonts w:cstheme="minorHAnsi"/>
              </w:rPr>
            </w:pPr>
          </w:p>
        </w:tc>
      </w:tr>
      <w:tr w:rsidR="008A250C" w:rsidRPr="002F2E74" w14:paraId="4213E763" w14:textId="6F18C40A" w:rsidTr="00723E18">
        <w:tblPrEx>
          <w:tblCellMar>
            <w:left w:w="0" w:type="dxa"/>
            <w:right w:w="0" w:type="dxa"/>
          </w:tblCellMar>
        </w:tblPrEx>
        <w:tc>
          <w:tcPr>
            <w:tcW w:w="3325" w:type="dxa"/>
            <w:shd w:val="clear" w:color="auto" w:fill="auto"/>
            <w:tcMar>
              <w:top w:w="0" w:type="dxa"/>
              <w:left w:w="108" w:type="dxa"/>
              <w:bottom w:w="0" w:type="dxa"/>
              <w:right w:w="108" w:type="dxa"/>
            </w:tcMar>
          </w:tcPr>
          <w:p w14:paraId="013F1B98" w14:textId="0CDC13F4" w:rsidR="008A250C" w:rsidRPr="00360666" w:rsidRDefault="00090FFD" w:rsidP="00375807">
            <w:pPr>
              <w:rPr>
                <w:rFonts w:cstheme="minorHAnsi"/>
                <w:b/>
                <w:bCs/>
              </w:rPr>
            </w:pPr>
            <w:r w:rsidRPr="00360666">
              <w:rPr>
                <w:rFonts w:cstheme="minorHAnsi"/>
                <w:b/>
                <w:bCs/>
              </w:rPr>
              <w:t xml:space="preserve">15. </w:t>
            </w:r>
            <w:r w:rsidR="000631A3" w:rsidRPr="00360666">
              <w:rPr>
                <w:rFonts w:cstheme="minorHAnsi"/>
                <w:b/>
                <w:bCs/>
              </w:rPr>
              <w:t xml:space="preserve">Race/Ethnic Residential Segregation </w:t>
            </w:r>
          </w:p>
        </w:tc>
        <w:tc>
          <w:tcPr>
            <w:tcW w:w="7110" w:type="dxa"/>
            <w:shd w:val="clear" w:color="auto" w:fill="FFFFFF"/>
            <w:tcMar>
              <w:top w:w="0" w:type="dxa"/>
              <w:left w:w="108" w:type="dxa"/>
              <w:bottom w:w="0" w:type="dxa"/>
              <w:right w:w="108" w:type="dxa"/>
            </w:tcMar>
          </w:tcPr>
          <w:p w14:paraId="6D124AF7" w14:textId="4B13CC80" w:rsidR="008A250C" w:rsidRPr="00360666" w:rsidRDefault="000631A3" w:rsidP="00723E18">
            <w:pPr>
              <w:spacing w:line="240" w:lineRule="auto"/>
              <w:contextualSpacing/>
              <w:rPr>
                <w:rFonts w:cstheme="minorHAnsi"/>
              </w:rPr>
            </w:pPr>
            <w:r w:rsidRPr="00360666">
              <w:rPr>
                <w:rFonts w:cstheme="minorHAnsi"/>
              </w:rPr>
              <w:t>The protocol is based on extracting data from the U.S. Census Bureau on a set of variables related to the concept of residential segregation. Residential segregation describes the distribution of different race/ethnic groups across smaller areal units (e.g., census tracts) within larger areas (e.g., counties or metropolitan statistical areas [MSAs]). The Separation Index (also known as the eta squared) is one of the most commonly used race/ethnic residential segregation measures. All the relevant variables are available from the decennial censuses or the American Community Survey (ACS) 5-year estimates. Once the data are extracted, the Separation Index can be calculated.</w:t>
            </w:r>
          </w:p>
        </w:tc>
        <w:tc>
          <w:tcPr>
            <w:tcW w:w="1620" w:type="dxa"/>
            <w:shd w:val="clear" w:color="auto" w:fill="FFFFFF"/>
            <w:tcMar>
              <w:top w:w="0" w:type="dxa"/>
              <w:left w:w="108" w:type="dxa"/>
              <w:bottom w:w="0" w:type="dxa"/>
              <w:right w:w="108" w:type="dxa"/>
            </w:tcMar>
          </w:tcPr>
          <w:p w14:paraId="71D2E123" w14:textId="77777777" w:rsidR="008A250C" w:rsidRPr="00360666" w:rsidRDefault="008A250C" w:rsidP="00375807">
            <w:pPr>
              <w:jc w:val="center"/>
              <w:rPr>
                <w:rFonts w:cstheme="minorHAnsi"/>
              </w:rPr>
            </w:pPr>
          </w:p>
        </w:tc>
        <w:tc>
          <w:tcPr>
            <w:tcW w:w="2070" w:type="dxa"/>
            <w:shd w:val="clear" w:color="auto" w:fill="FFFFFF"/>
          </w:tcPr>
          <w:p w14:paraId="24259E2F" w14:textId="77777777" w:rsidR="008A250C" w:rsidRPr="00360666" w:rsidRDefault="008A250C" w:rsidP="00375807">
            <w:pPr>
              <w:jc w:val="center"/>
              <w:rPr>
                <w:rFonts w:cstheme="minorHAnsi"/>
              </w:rPr>
            </w:pPr>
          </w:p>
        </w:tc>
      </w:tr>
      <w:tr w:rsidR="008A250C" w:rsidRPr="002F2E74" w14:paraId="3F9E7830" w14:textId="52322FF0" w:rsidTr="00723E18">
        <w:tblPrEx>
          <w:tblCellMar>
            <w:left w:w="0" w:type="dxa"/>
            <w:right w:w="0" w:type="dxa"/>
          </w:tblCellMar>
        </w:tblPrEx>
        <w:tc>
          <w:tcPr>
            <w:tcW w:w="3325" w:type="dxa"/>
            <w:shd w:val="clear" w:color="auto" w:fill="auto"/>
            <w:tcMar>
              <w:top w:w="0" w:type="dxa"/>
              <w:left w:w="108" w:type="dxa"/>
              <w:bottom w:w="0" w:type="dxa"/>
              <w:right w:w="108" w:type="dxa"/>
            </w:tcMar>
          </w:tcPr>
          <w:p w14:paraId="2B3A9D18" w14:textId="1400B1A5" w:rsidR="008A250C" w:rsidRPr="00360666" w:rsidRDefault="00090FFD" w:rsidP="00375807">
            <w:pPr>
              <w:rPr>
                <w:rFonts w:cstheme="minorHAnsi"/>
                <w:b/>
                <w:bCs/>
              </w:rPr>
            </w:pPr>
            <w:r w:rsidRPr="00360666">
              <w:rPr>
                <w:rFonts w:cstheme="minorHAnsi"/>
                <w:b/>
                <w:bCs/>
              </w:rPr>
              <w:t xml:space="preserve">16. </w:t>
            </w:r>
            <w:r w:rsidR="000631A3" w:rsidRPr="00360666">
              <w:rPr>
                <w:rFonts w:cstheme="minorHAnsi"/>
                <w:b/>
                <w:bCs/>
              </w:rPr>
              <w:t xml:space="preserve">Social Vulnerability </w:t>
            </w:r>
          </w:p>
        </w:tc>
        <w:tc>
          <w:tcPr>
            <w:tcW w:w="7110" w:type="dxa"/>
            <w:shd w:val="clear" w:color="auto" w:fill="FFFFFF"/>
            <w:tcMar>
              <w:top w:w="0" w:type="dxa"/>
              <w:left w:w="108" w:type="dxa"/>
              <w:bottom w:w="0" w:type="dxa"/>
              <w:right w:w="108" w:type="dxa"/>
            </w:tcMar>
          </w:tcPr>
          <w:p w14:paraId="02A960D0" w14:textId="5A7602B5" w:rsidR="008A250C" w:rsidRPr="00360666" w:rsidRDefault="000631A3" w:rsidP="00723E18">
            <w:pPr>
              <w:spacing w:line="240" w:lineRule="auto"/>
              <w:contextualSpacing/>
              <w:rPr>
                <w:rFonts w:cstheme="minorHAnsi"/>
              </w:rPr>
            </w:pPr>
            <w:r w:rsidRPr="00360666">
              <w:rPr>
                <w:rFonts w:cstheme="minorHAnsi"/>
              </w:rPr>
              <w:t xml:space="preserve">The Social Vulnerability Index (SVI) provides specific socially and spatially relevant information to help public health officials and local planners better prepare communities to respond to emergency events such as severe weather, floods, disease outbreaks, or chemical exposure.  </w:t>
            </w:r>
          </w:p>
        </w:tc>
        <w:tc>
          <w:tcPr>
            <w:tcW w:w="1620" w:type="dxa"/>
            <w:shd w:val="clear" w:color="auto" w:fill="FFFFFF"/>
            <w:tcMar>
              <w:top w:w="0" w:type="dxa"/>
              <w:left w:w="108" w:type="dxa"/>
              <w:bottom w:w="0" w:type="dxa"/>
              <w:right w:w="108" w:type="dxa"/>
            </w:tcMar>
          </w:tcPr>
          <w:p w14:paraId="36F3BCCB" w14:textId="77777777" w:rsidR="008A250C" w:rsidRPr="00360666" w:rsidRDefault="008A250C" w:rsidP="00375807">
            <w:pPr>
              <w:jc w:val="center"/>
              <w:rPr>
                <w:rFonts w:cstheme="minorHAnsi"/>
              </w:rPr>
            </w:pPr>
          </w:p>
        </w:tc>
        <w:tc>
          <w:tcPr>
            <w:tcW w:w="2070" w:type="dxa"/>
            <w:shd w:val="clear" w:color="auto" w:fill="FFFFFF"/>
          </w:tcPr>
          <w:p w14:paraId="6A65F33C" w14:textId="77777777" w:rsidR="008A250C" w:rsidRPr="00360666" w:rsidRDefault="008A250C" w:rsidP="00375807">
            <w:pPr>
              <w:jc w:val="center"/>
              <w:rPr>
                <w:rFonts w:cstheme="minorHAnsi"/>
              </w:rPr>
            </w:pPr>
          </w:p>
        </w:tc>
      </w:tr>
      <w:tr w:rsidR="008A250C" w:rsidRPr="002F2E74" w14:paraId="63D211B5" w14:textId="643137F6" w:rsidTr="00723E18">
        <w:tblPrEx>
          <w:tblCellMar>
            <w:left w:w="0" w:type="dxa"/>
            <w:right w:w="0" w:type="dxa"/>
          </w:tblCellMar>
        </w:tblPrEx>
        <w:tc>
          <w:tcPr>
            <w:tcW w:w="3325" w:type="dxa"/>
            <w:shd w:val="clear" w:color="auto" w:fill="auto"/>
            <w:tcMar>
              <w:top w:w="0" w:type="dxa"/>
              <w:left w:w="108" w:type="dxa"/>
              <w:bottom w:w="0" w:type="dxa"/>
              <w:right w:w="108" w:type="dxa"/>
            </w:tcMar>
          </w:tcPr>
          <w:p w14:paraId="784649AF" w14:textId="7C52B1CB" w:rsidR="008A250C" w:rsidRPr="00360666" w:rsidRDefault="00090FFD" w:rsidP="00375807">
            <w:pPr>
              <w:rPr>
                <w:rFonts w:cstheme="minorHAnsi"/>
                <w:b/>
                <w:bCs/>
              </w:rPr>
            </w:pPr>
            <w:r w:rsidRPr="00360666">
              <w:rPr>
                <w:rFonts w:cstheme="minorHAnsi"/>
                <w:b/>
                <w:bCs/>
              </w:rPr>
              <w:lastRenderedPageBreak/>
              <w:t xml:space="preserve">17. </w:t>
            </w:r>
            <w:r w:rsidR="006927A0" w:rsidRPr="00360666">
              <w:rPr>
                <w:rFonts w:cstheme="minorHAnsi"/>
                <w:b/>
                <w:bCs/>
              </w:rPr>
              <w:t>Use of Technology for Health</w:t>
            </w:r>
          </w:p>
        </w:tc>
        <w:tc>
          <w:tcPr>
            <w:tcW w:w="7110" w:type="dxa"/>
            <w:shd w:val="clear" w:color="auto" w:fill="FFFFFF"/>
            <w:tcMar>
              <w:top w:w="0" w:type="dxa"/>
              <w:left w:w="108" w:type="dxa"/>
              <w:bottom w:w="0" w:type="dxa"/>
              <w:right w:w="108" w:type="dxa"/>
            </w:tcMar>
          </w:tcPr>
          <w:p w14:paraId="3B85BC3B" w14:textId="78343412" w:rsidR="008A250C" w:rsidRPr="00360666" w:rsidRDefault="006927A0" w:rsidP="00723E18">
            <w:pPr>
              <w:spacing w:line="240" w:lineRule="auto"/>
              <w:contextualSpacing/>
              <w:rPr>
                <w:rFonts w:cstheme="minorHAnsi"/>
              </w:rPr>
            </w:pPr>
            <w:r w:rsidRPr="00360666">
              <w:rPr>
                <w:rFonts w:cstheme="minorHAnsi"/>
              </w:rPr>
              <w:t xml:space="preserve">Health Information National Trends Survey (HINTS) collects data about use of cancer-related online information. The Health Information National Trends Survey (HINTS) is a nationally representative survey which has been administered every few years by the National Cancer Institute (NCI) since 2003. The HINTS target population is adults aged 18 or older in the civilian non-institutionalized population of the United States.  The survey is administered over the course of four years, which completed in 2018. </w:t>
            </w:r>
            <w:r w:rsidRPr="00360666">
              <w:rPr>
                <w:rFonts w:cstheme="minorHAnsi"/>
                <w:shd w:val="clear" w:color="auto" w:fill="FFFFFF"/>
              </w:rPr>
              <w:t>The survey may be administered via self-report questionnaire.</w:t>
            </w:r>
          </w:p>
        </w:tc>
        <w:tc>
          <w:tcPr>
            <w:tcW w:w="1620" w:type="dxa"/>
            <w:shd w:val="clear" w:color="auto" w:fill="FFFFFF"/>
            <w:tcMar>
              <w:top w:w="0" w:type="dxa"/>
              <w:left w:w="108" w:type="dxa"/>
              <w:bottom w:w="0" w:type="dxa"/>
              <w:right w:w="108" w:type="dxa"/>
            </w:tcMar>
          </w:tcPr>
          <w:p w14:paraId="1492EE71" w14:textId="77777777" w:rsidR="008A250C" w:rsidRPr="00360666" w:rsidRDefault="008A250C" w:rsidP="00375807">
            <w:pPr>
              <w:jc w:val="center"/>
              <w:rPr>
                <w:rFonts w:cstheme="minorHAnsi"/>
              </w:rPr>
            </w:pPr>
          </w:p>
        </w:tc>
        <w:tc>
          <w:tcPr>
            <w:tcW w:w="2070" w:type="dxa"/>
            <w:shd w:val="clear" w:color="auto" w:fill="FFFFFF"/>
          </w:tcPr>
          <w:p w14:paraId="4F3CB92D" w14:textId="77777777" w:rsidR="008A250C" w:rsidRPr="00360666" w:rsidRDefault="008A250C" w:rsidP="00375807">
            <w:pPr>
              <w:jc w:val="center"/>
              <w:rPr>
                <w:rFonts w:cstheme="minorHAnsi"/>
              </w:rPr>
            </w:pPr>
          </w:p>
        </w:tc>
      </w:tr>
      <w:tr w:rsidR="00D37AE2" w:rsidRPr="002F2E74" w14:paraId="5BF04C84" w14:textId="5DFE417E" w:rsidTr="00723E18">
        <w:tblPrEx>
          <w:tblCellMar>
            <w:left w:w="0" w:type="dxa"/>
            <w:right w:w="0" w:type="dxa"/>
          </w:tblCellMar>
        </w:tblPrEx>
        <w:tc>
          <w:tcPr>
            <w:tcW w:w="3325" w:type="dxa"/>
            <w:shd w:val="clear" w:color="auto" w:fill="auto"/>
            <w:tcMar>
              <w:top w:w="0" w:type="dxa"/>
              <w:left w:w="108" w:type="dxa"/>
              <w:bottom w:w="0" w:type="dxa"/>
              <w:right w:w="108" w:type="dxa"/>
            </w:tcMar>
          </w:tcPr>
          <w:p w14:paraId="43DB29E4" w14:textId="3DA70400" w:rsidR="00D37AE2" w:rsidRPr="00360666" w:rsidRDefault="00D37AE2" w:rsidP="00375807">
            <w:pPr>
              <w:contextualSpacing/>
              <w:rPr>
                <w:rFonts w:cstheme="minorHAnsi"/>
                <w:b/>
                <w:bCs/>
              </w:rPr>
            </w:pPr>
            <w:r w:rsidRPr="00360666">
              <w:rPr>
                <w:rFonts w:cstheme="minorHAnsi"/>
                <w:b/>
                <w:bCs/>
              </w:rPr>
              <w:t xml:space="preserve">18. </w:t>
            </w:r>
            <w:r w:rsidR="007957DB" w:rsidRPr="00360666">
              <w:rPr>
                <w:rFonts w:cstheme="minorHAnsi"/>
                <w:b/>
                <w:bCs/>
              </w:rPr>
              <w:t xml:space="preserve">Household </w:t>
            </w:r>
            <w:r w:rsidR="006927A0" w:rsidRPr="00360666">
              <w:rPr>
                <w:rFonts w:cstheme="minorHAnsi"/>
                <w:b/>
                <w:bCs/>
              </w:rPr>
              <w:t>Wealth</w:t>
            </w:r>
          </w:p>
          <w:p w14:paraId="438ED78D" w14:textId="4F020E14" w:rsidR="00D37AE2" w:rsidRPr="00360666" w:rsidRDefault="00D37AE2" w:rsidP="00375807">
            <w:pPr>
              <w:rPr>
                <w:rFonts w:cstheme="minorHAnsi"/>
                <w:b/>
                <w:bCs/>
              </w:rPr>
            </w:pPr>
            <w:r w:rsidRPr="00360666">
              <w:rPr>
                <w:rFonts w:cstheme="minorHAnsi"/>
                <w:b/>
                <w:bCs/>
              </w:rPr>
              <w:t xml:space="preserve"> </w:t>
            </w:r>
          </w:p>
        </w:tc>
        <w:tc>
          <w:tcPr>
            <w:tcW w:w="7110" w:type="dxa"/>
            <w:shd w:val="clear" w:color="auto" w:fill="FFFFFF"/>
            <w:tcMar>
              <w:top w:w="0" w:type="dxa"/>
              <w:left w:w="108" w:type="dxa"/>
              <w:bottom w:w="0" w:type="dxa"/>
              <w:right w:w="108" w:type="dxa"/>
            </w:tcMar>
          </w:tcPr>
          <w:p w14:paraId="59F0196F" w14:textId="6CF674BA" w:rsidR="00D37AE2" w:rsidRPr="00360666" w:rsidRDefault="006927A0" w:rsidP="00723E18">
            <w:pPr>
              <w:spacing w:line="240" w:lineRule="auto"/>
              <w:contextualSpacing/>
              <w:rPr>
                <w:rFonts w:cstheme="minorHAnsi"/>
              </w:rPr>
            </w:pPr>
            <w:r w:rsidRPr="00360666">
              <w:rPr>
                <w:rFonts w:cstheme="minorHAnsi"/>
              </w:rPr>
              <w:t xml:space="preserve">The interviewer asks the respondent about his or her family’s wealth and active savings, a point-in-time “stock” of the household’s financial assets. One person per family is interviewed biennially. </w:t>
            </w:r>
          </w:p>
        </w:tc>
        <w:tc>
          <w:tcPr>
            <w:tcW w:w="1620" w:type="dxa"/>
            <w:shd w:val="clear" w:color="auto" w:fill="FFFFFF"/>
            <w:tcMar>
              <w:top w:w="0" w:type="dxa"/>
              <w:left w:w="108" w:type="dxa"/>
              <w:bottom w:w="0" w:type="dxa"/>
              <w:right w:w="108" w:type="dxa"/>
            </w:tcMar>
          </w:tcPr>
          <w:p w14:paraId="6B0C8FAA" w14:textId="77777777" w:rsidR="00D37AE2" w:rsidRPr="00360666" w:rsidRDefault="00D37AE2" w:rsidP="00375807">
            <w:pPr>
              <w:jc w:val="center"/>
              <w:rPr>
                <w:rFonts w:cstheme="minorHAnsi"/>
              </w:rPr>
            </w:pPr>
          </w:p>
        </w:tc>
        <w:tc>
          <w:tcPr>
            <w:tcW w:w="2070" w:type="dxa"/>
            <w:shd w:val="clear" w:color="auto" w:fill="FFFFFF"/>
          </w:tcPr>
          <w:p w14:paraId="7E235C48" w14:textId="77777777" w:rsidR="00D37AE2" w:rsidRPr="00360666" w:rsidRDefault="00D37AE2" w:rsidP="00375807">
            <w:pPr>
              <w:jc w:val="center"/>
              <w:rPr>
                <w:rFonts w:cstheme="minorHAnsi"/>
              </w:rPr>
            </w:pPr>
          </w:p>
        </w:tc>
      </w:tr>
    </w:tbl>
    <w:p w14:paraId="39038D92" w14:textId="77777777" w:rsidR="00DE4D5C" w:rsidRPr="006D798D" w:rsidRDefault="00DE4D5C" w:rsidP="00DE4D5C">
      <w:pPr>
        <w:spacing w:after="0" w:line="240" w:lineRule="auto"/>
        <w:rPr>
          <w:rFonts w:ascii="Arial Narrow" w:hAnsi="Arial Narrow"/>
          <w:color w:val="000000"/>
          <w:sz w:val="24"/>
          <w:szCs w:val="24"/>
        </w:rPr>
      </w:pPr>
    </w:p>
    <w:p w14:paraId="585AE0C5" w14:textId="77777777" w:rsidR="00DE4D5C" w:rsidRPr="00360666" w:rsidRDefault="00DE4D5C" w:rsidP="00A4734D">
      <w:pPr>
        <w:spacing w:after="0" w:line="240" w:lineRule="auto"/>
        <w:rPr>
          <w:rFonts w:cstheme="minorHAnsi"/>
        </w:rPr>
      </w:pPr>
      <w:r w:rsidRPr="00360666">
        <w:rPr>
          <w:rFonts w:cstheme="minorHAnsi"/>
        </w:rPr>
        <w:t>If you would like to be removed from our mailing list, please reply to this message with the word “Unsubscribe”.</w:t>
      </w:r>
    </w:p>
    <w:sectPr w:rsidR="00DE4D5C" w:rsidRPr="00360666" w:rsidSect="00491F7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A277" w14:textId="77777777" w:rsidR="00085F3F" w:rsidRDefault="00085F3F" w:rsidP="00602B85">
      <w:pPr>
        <w:spacing w:after="0" w:line="240" w:lineRule="auto"/>
      </w:pPr>
      <w:r>
        <w:separator/>
      </w:r>
    </w:p>
  </w:endnote>
  <w:endnote w:type="continuationSeparator" w:id="0">
    <w:p w14:paraId="5E10BF96" w14:textId="77777777" w:rsidR="00085F3F" w:rsidRDefault="00085F3F" w:rsidP="0060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FF60" w14:textId="77777777" w:rsidR="00977CF5" w:rsidRDefault="0097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DA8E" w14:textId="77777777" w:rsidR="00977CF5" w:rsidRDefault="0097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C9A6" w14:textId="77777777" w:rsidR="00977CF5" w:rsidRDefault="0097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1B44" w14:textId="77777777" w:rsidR="00085F3F" w:rsidRDefault="00085F3F" w:rsidP="00602B85">
      <w:pPr>
        <w:spacing w:after="0" w:line="240" w:lineRule="auto"/>
      </w:pPr>
      <w:r>
        <w:separator/>
      </w:r>
    </w:p>
  </w:footnote>
  <w:footnote w:type="continuationSeparator" w:id="0">
    <w:p w14:paraId="6C739A34" w14:textId="77777777" w:rsidR="00085F3F" w:rsidRDefault="00085F3F" w:rsidP="0060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02B5" w14:textId="77777777" w:rsidR="00977CF5" w:rsidRDefault="0097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5450" w14:textId="2C59DB26" w:rsidR="00602B85" w:rsidRDefault="00602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8C85" w14:textId="77777777" w:rsidR="00977CF5" w:rsidRDefault="0097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51A0"/>
    <w:multiLevelType w:val="hybridMultilevel"/>
    <w:tmpl w:val="26BE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64D4C"/>
    <w:multiLevelType w:val="hybridMultilevel"/>
    <w:tmpl w:val="282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56"/>
    <w:rsid w:val="00017E48"/>
    <w:rsid w:val="000631A3"/>
    <w:rsid w:val="00080D14"/>
    <w:rsid w:val="00085F3F"/>
    <w:rsid w:val="00090FFD"/>
    <w:rsid w:val="000A1070"/>
    <w:rsid w:val="000D249C"/>
    <w:rsid w:val="000E30A0"/>
    <w:rsid w:val="000F386B"/>
    <w:rsid w:val="0011355D"/>
    <w:rsid w:val="001215F4"/>
    <w:rsid w:val="001347CA"/>
    <w:rsid w:val="00157D7F"/>
    <w:rsid w:val="001927A2"/>
    <w:rsid w:val="00193870"/>
    <w:rsid w:val="001A281C"/>
    <w:rsid w:val="001A6B6D"/>
    <w:rsid w:val="001D4641"/>
    <w:rsid w:val="001E543B"/>
    <w:rsid w:val="001F3912"/>
    <w:rsid w:val="00215DC3"/>
    <w:rsid w:val="00241994"/>
    <w:rsid w:val="002634A8"/>
    <w:rsid w:val="0029561F"/>
    <w:rsid w:val="0029578D"/>
    <w:rsid w:val="002C0433"/>
    <w:rsid w:val="002F2ACF"/>
    <w:rsid w:val="00320977"/>
    <w:rsid w:val="00327E90"/>
    <w:rsid w:val="00360666"/>
    <w:rsid w:val="00375807"/>
    <w:rsid w:val="0038158C"/>
    <w:rsid w:val="003D15DC"/>
    <w:rsid w:val="00403413"/>
    <w:rsid w:val="00405BDF"/>
    <w:rsid w:val="004317E8"/>
    <w:rsid w:val="00445206"/>
    <w:rsid w:val="004618D7"/>
    <w:rsid w:val="004633EE"/>
    <w:rsid w:val="00463789"/>
    <w:rsid w:val="00491F78"/>
    <w:rsid w:val="004A3B0F"/>
    <w:rsid w:val="004A7F67"/>
    <w:rsid w:val="004C00B5"/>
    <w:rsid w:val="004C2FF0"/>
    <w:rsid w:val="004D1B40"/>
    <w:rsid w:val="004E182A"/>
    <w:rsid w:val="004F5F28"/>
    <w:rsid w:val="005275E3"/>
    <w:rsid w:val="005A3A58"/>
    <w:rsid w:val="005E3177"/>
    <w:rsid w:val="005E7B28"/>
    <w:rsid w:val="00602B85"/>
    <w:rsid w:val="00614B44"/>
    <w:rsid w:val="00660F91"/>
    <w:rsid w:val="006927A0"/>
    <w:rsid w:val="006A0A00"/>
    <w:rsid w:val="006C4A92"/>
    <w:rsid w:val="006D286D"/>
    <w:rsid w:val="00723E18"/>
    <w:rsid w:val="007421D7"/>
    <w:rsid w:val="0075189C"/>
    <w:rsid w:val="00764512"/>
    <w:rsid w:val="007652DB"/>
    <w:rsid w:val="00775BEB"/>
    <w:rsid w:val="00776A68"/>
    <w:rsid w:val="007957DB"/>
    <w:rsid w:val="007A7363"/>
    <w:rsid w:val="007F3156"/>
    <w:rsid w:val="0080427D"/>
    <w:rsid w:val="008119FD"/>
    <w:rsid w:val="00824CBD"/>
    <w:rsid w:val="008373CE"/>
    <w:rsid w:val="00844F04"/>
    <w:rsid w:val="00851EEC"/>
    <w:rsid w:val="00854824"/>
    <w:rsid w:val="00857421"/>
    <w:rsid w:val="00876747"/>
    <w:rsid w:val="00876AF6"/>
    <w:rsid w:val="0089042E"/>
    <w:rsid w:val="008A110E"/>
    <w:rsid w:val="008A250C"/>
    <w:rsid w:val="008B53C9"/>
    <w:rsid w:val="008C1D1F"/>
    <w:rsid w:val="008C311A"/>
    <w:rsid w:val="008C5672"/>
    <w:rsid w:val="008E2620"/>
    <w:rsid w:val="00925EE3"/>
    <w:rsid w:val="009271C4"/>
    <w:rsid w:val="0093468D"/>
    <w:rsid w:val="009506A6"/>
    <w:rsid w:val="0096314F"/>
    <w:rsid w:val="00977CF5"/>
    <w:rsid w:val="009809C2"/>
    <w:rsid w:val="00996EFC"/>
    <w:rsid w:val="009E1E5C"/>
    <w:rsid w:val="009F5A5B"/>
    <w:rsid w:val="00A074CB"/>
    <w:rsid w:val="00A23FAE"/>
    <w:rsid w:val="00A4734D"/>
    <w:rsid w:val="00A74DAC"/>
    <w:rsid w:val="00A91D0D"/>
    <w:rsid w:val="00AA721C"/>
    <w:rsid w:val="00AE10D6"/>
    <w:rsid w:val="00AE5120"/>
    <w:rsid w:val="00B30BBA"/>
    <w:rsid w:val="00B335FD"/>
    <w:rsid w:val="00B617D7"/>
    <w:rsid w:val="00B77287"/>
    <w:rsid w:val="00B806B2"/>
    <w:rsid w:val="00B84CBF"/>
    <w:rsid w:val="00BA64DF"/>
    <w:rsid w:val="00BB06C4"/>
    <w:rsid w:val="00BD581E"/>
    <w:rsid w:val="00C22717"/>
    <w:rsid w:val="00C3060C"/>
    <w:rsid w:val="00C430F5"/>
    <w:rsid w:val="00C52556"/>
    <w:rsid w:val="00C6674D"/>
    <w:rsid w:val="00C74B81"/>
    <w:rsid w:val="00CE7740"/>
    <w:rsid w:val="00D20E6F"/>
    <w:rsid w:val="00D37AE2"/>
    <w:rsid w:val="00D40274"/>
    <w:rsid w:val="00D52E86"/>
    <w:rsid w:val="00D768EC"/>
    <w:rsid w:val="00D927D3"/>
    <w:rsid w:val="00D94A0C"/>
    <w:rsid w:val="00DA75A0"/>
    <w:rsid w:val="00DC052A"/>
    <w:rsid w:val="00DE4D5C"/>
    <w:rsid w:val="00DF2752"/>
    <w:rsid w:val="00DF4106"/>
    <w:rsid w:val="00DF5C55"/>
    <w:rsid w:val="00E21799"/>
    <w:rsid w:val="00E333B9"/>
    <w:rsid w:val="00E757AA"/>
    <w:rsid w:val="00E75EC1"/>
    <w:rsid w:val="00E77B13"/>
    <w:rsid w:val="00E83375"/>
    <w:rsid w:val="00EB03B7"/>
    <w:rsid w:val="00ED2DDC"/>
    <w:rsid w:val="00EF68E9"/>
    <w:rsid w:val="00F408DF"/>
    <w:rsid w:val="00F41F24"/>
    <w:rsid w:val="00F47F25"/>
    <w:rsid w:val="00F64DB3"/>
    <w:rsid w:val="00F76B9F"/>
    <w:rsid w:val="00F94638"/>
    <w:rsid w:val="00FB028C"/>
    <w:rsid w:val="00FF1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A360"/>
  <w15:docId w15:val="{A0538C49-575E-45B8-991D-8FF7E4D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156"/>
    <w:rPr>
      <w:color w:val="0000FF"/>
      <w:u w:val="single"/>
    </w:rPr>
  </w:style>
  <w:style w:type="character" w:styleId="Strong">
    <w:name w:val="Strong"/>
    <w:qFormat/>
    <w:rsid w:val="007F3156"/>
    <w:rPr>
      <w:b/>
      <w:bCs/>
    </w:rPr>
  </w:style>
  <w:style w:type="character" w:styleId="Emphasis">
    <w:name w:val="Emphasis"/>
    <w:qFormat/>
    <w:rsid w:val="007F3156"/>
    <w:rPr>
      <w:i/>
      <w:iCs/>
    </w:rPr>
  </w:style>
  <w:style w:type="character" w:styleId="CommentReference">
    <w:name w:val="annotation reference"/>
    <w:basedOn w:val="DefaultParagraphFont"/>
    <w:semiHidden/>
    <w:unhideWhenUsed/>
    <w:rsid w:val="00DE4D5C"/>
    <w:rPr>
      <w:sz w:val="16"/>
      <w:szCs w:val="16"/>
    </w:rPr>
  </w:style>
  <w:style w:type="paragraph" w:styleId="CommentText">
    <w:name w:val="annotation text"/>
    <w:basedOn w:val="Normal"/>
    <w:link w:val="CommentTextChar"/>
    <w:semiHidden/>
    <w:unhideWhenUsed/>
    <w:rsid w:val="00DE4D5C"/>
    <w:pPr>
      <w:spacing w:line="240" w:lineRule="auto"/>
    </w:pPr>
    <w:rPr>
      <w:sz w:val="20"/>
      <w:szCs w:val="20"/>
    </w:rPr>
  </w:style>
  <w:style w:type="character" w:customStyle="1" w:styleId="CommentTextChar">
    <w:name w:val="Comment Text Char"/>
    <w:basedOn w:val="DefaultParagraphFont"/>
    <w:link w:val="CommentText"/>
    <w:semiHidden/>
    <w:rsid w:val="00DE4D5C"/>
    <w:rPr>
      <w:sz w:val="20"/>
      <w:szCs w:val="20"/>
    </w:rPr>
  </w:style>
  <w:style w:type="paragraph" w:styleId="CommentSubject">
    <w:name w:val="annotation subject"/>
    <w:basedOn w:val="CommentText"/>
    <w:next w:val="CommentText"/>
    <w:link w:val="CommentSubjectChar"/>
    <w:uiPriority w:val="99"/>
    <w:semiHidden/>
    <w:unhideWhenUsed/>
    <w:rsid w:val="00DE4D5C"/>
    <w:rPr>
      <w:b/>
      <w:bCs/>
    </w:rPr>
  </w:style>
  <w:style w:type="character" w:customStyle="1" w:styleId="CommentSubjectChar">
    <w:name w:val="Comment Subject Char"/>
    <w:basedOn w:val="CommentTextChar"/>
    <w:link w:val="CommentSubject"/>
    <w:uiPriority w:val="99"/>
    <w:semiHidden/>
    <w:rsid w:val="00DE4D5C"/>
    <w:rPr>
      <w:b/>
      <w:bCs/>
      <w:sz w:val="20"/>
      <w:szCs w:val="20"/>
    </w:rPr>
  </w:style>
  <w:style w:type="paragraph" w:styleId="BalloonText">
    <w:name w:val="Balloon Text"/>
    <w:basedOn w:val="Normal"/>
    <w:link w:val="BalloonTextChar"/>
    <w:uiPriority w:val="99"/>
    <w:semiHidden/>
    <w:unhideWhenUsed/>
    <w:rsid w:val="00DE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5C"/>
    <w:rPr>
      <w:rFonts w:ascii="Tahoma" w:hAnsi="Tahoma" w:cs="Tahoma"/>
      <w:sz w:val="16"/>
      <w:szCs w:val="16"/>
    </w:rPr>
  </w:style>
  <w:style w:type="paragraph" w:styleId="NoSpacing">
    <w:name w:val="No Spacing"/>
    <w:uiPriority w:val="1"/>
    <w:qFormat/>
    <w:rsid w:val="00DE4D5C"/>
    <w:pPr>
      <w:spacing w:after="0" w:line="240" w:lineRule="auto"/>
    </w:pPr>
    <w:rPr>
      <w:rFonts w:ascii="Calibri" w:eastAsia="Calibri" w:hAnsi="Calibri" w:cs="Arial"/>
    </w:rPr>
  </w:style>
  <w:style w:type="paragraph" w:styleId="Header">
    <w:name w:val="header"/>
    <w:basedOn w:val="Normal"/>
    <w:link w:val="HeaderChar"/>
    <w:uiPriority w:val="99"/>
    <w:unhideWhenUsed/>
    <w:rsid w:val="0060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85"/>
  </w:style>
  <w:style w:type="paragraph" w:styleId="Footer">
    <w:name w:val="footer"/>
    <w:basedOn w:val="Normal"/>
    <w:link w:val="FooterChar"/>
    <w:uiPriority w:val="99"/>
    <w:unhideWhenUsed/>
    <w:rsid w:val="0060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85"/>
  </w:style>
  <w:style w:type="character" w:styleId="FollowedHyperlink">
    <w:name w:val="FollowedHyperlink"/>
    <w:basedOn w:val="DefaultParagraphFont"/>
    <w:uiPriority w:val="99"/>
    <w:semiHidden/>
    <w:unhideWhenUsed/>
    <w:rsid w:val="0038158C"/>
    <w:rPr>
      <w:color w:val="800080" w:themeColor="followedHyperlink"/>
      <w:u w:val="single"/>
    </w:rPr>
  </w:style>
  <w:style w:type="paragraph" w:styleId="NormalWeb">
    <w:name w:val="Normal (Web)"/>
    <w:basedOn w:val="Normal"/>
    <w:uiPriority w:val="99"/>
    <w:semiHidden/>
    <w:unhideWhenUsed/>
    <w:rsid w:val="0076451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25EE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F2752"/>
    <w:rPr>
      <w:color w:val="605E5C"/>
      <w:shd w:val="clear" w:color="auto" w:fill="E1DFDD"/>
    </w:rPr>
  </w:style>
  <w:style w:type="paragraph" w:styleId="ListParagraph">
    <w:name w:val="List Paragraph"/>
    <w:basedOn w:val="Normal"/>
    <w:uiPriority w:val="34"/>
    <w:qFormat/>
    <w:rsid w:val="00491F78"/>
    <w:pPr>
      <w:ind w:left="720"/>
      <w:contextualSpacing/>
    </w:pPr>
  </w:style>
  <w:style w:type="paragraph" w:styleId="Revision">
    <w:name w:val="Revision"/>
    <w:hidden/>
    <w:uiPriority w:val="99"/>
    <w:semiHidden/>
    <w:rsid w:val="00ED2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314">
      <w:bodyDiv w:val="1"/>
      <w:marLeft w:val="0"/>
      <w:marRight w:val="0"/>
      <w:marTop w:val="0"/>
      <w:marBottom w:val="0"/>
      <w:divBdr>
        <w:top w:val="none" w:sz="0" w:space="0" w:color="auto"/>
        <w:left w:val="none" w:sz="0" w:space="0" w:color="auto"/>
        <w:bottom w:val="none" w:sz="0" w:space="0" w:color="auto"/>
        <w:right w:val="none" w:sz="0" w:space="0" w:color="auto"/>
      </w:divBdr>
    </w:div>
    <w:div w:id="564725329">
      <w:bodyDiv w:val="1"/>
      <w:marLeft w:val="0"/>
      <w:marRight w:val="0"/>
      <w:marTop w:val="0"/>
      <w:marBottom w:val="0"/>
      <w:divBdr>
        <w:top w:val="none" w:sz="0" w:space="0" w:color="auto"/>
        <w:left w:val="none" w:sz="0" w:space="0" w:color="auto"/>
        <w:bottom w:val="none" w:sz="0" w:space="0" w:color="auto"/>
        <w:right w:val="none" w:sz="0" w:space="0" w:color="auto"/>
      </w:divBdr>
    </w:div>
    <w:div w:id="649528181">
      <w:bodyDiv w:val="1"/>
      <w:marLeft w:val="0"/>
      <w:marRight w:val="0"/>
      <w:marTop w:val="0"/>
      <w:marBottom w:val="0"/>
      <w:divBdr>
        <w:top w:val="none" w:sz="0" w:space="0" w:color="auto"/>
        <w:left w:val="none" w:sz="0" w:space="0" w:color="auto"/>
        <w:bottom w:val="none" w:sz="0" w:space="0" w:color="auto"/>
        <w:right w:val="none" w:sz="0" w:space="0" w:color="auto"/>
      </w:divBdr>
    </w:div>
    <w:div w:id="978069172">
      <w:bodyDiv w:val="1"/>
      <w:marLeft w:val="0"/>
      <w:marRight w:val="0"/>
      <w:marTop w:val="0"/>
      <w:marBottom w:val="0"/>
      <w:divBdr>
        <w:top w:val="none" w:sz="0" w:space="0" w:color="auto"/>
        <w:left w:val="none" w:sz="0" w:space="0" w:color="auto"/>
        <w:bottom w:val="none" w:sz="0" w:space="0" w:color="auto"/>
        <w:right w:val="none" w:sz="0" w:space="0" w:color="auto"/>
      </w:divBdr>
    </w:div>
    <w:div w:id="1128277971">
      <w:bodyDiv w:val="1"/>
      <w:marLeft w:val="0"/>
      <w:marRight w:val="0"/>
      <w:marTop w:val="0"/>
      <w:marBottom w:val="0"/>
      <w:divBdr>
        <w:top w:val="none" w:sz="0" w:space="0" w:color="auto"/>
        <w:left w:val="none" w:sz="0" w:space="0" w:color="auto"/>
        <w:bottom w:val="none" w:sz="0" w:space="0" w:color="auto"/>
        <w:right w:val="none" w:sz="0" w:space="0" w:color="auto"/>
      </w:divBdr>
    </w:div>
    <w:div w:id="1195996796">
      <w:bodyDiv w:val="1"/>
      <w:marLeft w:val="0"/>
      <w:marRight w:val="0"/>
      <w:marTop w:val="0"/>
      <w:marBottom w:val="0"/>
      <w:divBdr>
        <w:top w:val="none" w:sz="0" w:space="0" w:color="auto"/>
        <w:left w:val="none" w:sz="0" w:space="0" w:color="auto"/>
        <w:bottom w:val="none" w:sz="0" w:space="0" w:color="auto"/>
        <w:right w:val="none" w:sz="0" w:space="0" w:color="auto"/>
      </w:divBdr>
    </w:div>
    <w:div w:id="1361977824">
      <w:bodyDiv w:val="1"/>
      <w:marLeft w:val="0"/>
      <w:marRight w:val="0"/>
      <w:marTop w:val="0"/>
      <w:marBottom w:val="0"/>
      <w:divBdr>
        <w:top w:val="none" w:sz="0" w:space="0" w:color="auto"/>
        <w:left w:val="none" w:sz="0" w:space="0" w:color="auto"/>
        <w:bottom w:val="none" w:sz="0" w:space="0" w:color="auto"/>
        <w:right w:val="none" w:sz="0" w:space="0" w:color="auto"/>
      </w:divBdr>
    </w:div>
    <w:div w:id="1753626252">
      <w:bodyDiv w:val="1"/>
      <w:marLeft w:val="0"/>
      <w:marRight w:val="0"/>
      <w:marTop w:val="0"/>
      <w:marBottom w:val="0"/>
      <w:divBdr>
        <w:top w:val="none" w:sz="0" w:space="0" w:color="auto"/>
        <w:left w:val="none" w:sz="0" w:space="0" w:color="auto"/>
        <w:bottom w:val="none" w:sz="0" w:space="0" w:color="auto"/>
        <w:right w:val="none" w:sz="0" w:space="0" w:color="auto"/>
      </w:divBdr>
    </w:div>
    <w:div w:id="1988853127">
      <w:bodyDiv w:val="1"/>
      <w:marLeft w:val="0"/>
      <w:marRight w:val="0"/>
      <w:marTop w:val="0"/>
      <w:marBottom w:val="0"/>
      <w:divBdr>
        <w:top w:val="none" w:sz="0" w:space="0" w:color="auto"/>
        <w:left w:val="none" w:sz="0" w:space="0" w:color="auto"/>
        <w:bottom w:val="none" w:sz="0" w:space="0" w:color="auto"/>
        <w:right w:val="none" w:sz="0" w:space="0" w:color="auto"/>
      </w:divBdr>
    </w:div>
    <w:div w:id="2044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phenx.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henx.org/node/4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enx.org/node/47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whuggins</dc:creator>
  <cp:lastModifiedBy>Ives, Cataia</cp:lastModifiedBy>
  <cp:revision>27</cp:revision>
  <cp:lastPrinted>2020-01-07T14:03:00Z</cp:lastPrinted>
  <dcterms:created xsi:type="dcterms:W3CDTF">2019-11-22T19:39:00Z</dcterms:created>
  <dcterms:modified xsi:type="dcterms:W3CDTF">2020-01-23T15:30:00Z</dcterms:modified>
</cp:coreProperties>
</file>